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  <w:sz w:val="30"/>
          <w:szCs w:val="30"/>
        </w:rPr>
        <w:t>Virologica Sinica</w:t>
      </w:r>
    </w:p>
    <w:p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>
      <w:pPr>
        <w:pStyle w:val="11"/>
        <w:spacing w:after="0" w:line="360" w:lineRule="auto"/>
        <w:ind w:left="0" w:right="55" w:rightChars="26"/>
        <w:jc w:val="left"/>
        <w:rPr>
          <w:rFonts w:ascii="Times New Roman" w:hAnsi="Times New Roman" w:eastAsiaTheme="minorEastAsia"/>
          <w:b/>
          <w:sz w:val="22"/>
          <w:szCs w:val="22"/>
        </w:rPr>
      </w:pPr>
    </w:p>
    <w:p>
      <w:pPr>
        <w:pStyle w:val="11"/>
        <w:spacing w:after="0" w:line="360" w:lineRule="auto"/>
        <w:ind w:left="0" w:right="55" w:rightChars="26"/>
        <w:jc w:val="left"/>
        <w:rPr>
          <w:rFonts w:ascii="Times New Roman" w:hAnsi="Times New Roman" w:eastAsiaTheme="minorEastAsia"/>
          <w:b/>
          <w:sz w:val="22"/>
          <w:szCs w:val="22"/>
        </w:rPr>
      </w:pPr>
    </w:p>
    <w:p>
      <w:pPr>
        <w:pStyle w:val="12"/>
        <w:spacing w:after="0"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Hsp90 β is Critical for the Infection of Severe Fever with Thrombocytopenia Syndrome Virus</w:t>
      </w:r>
    </w:p>
    <w:p>
      <w:pPr>
        <w:rPr>
          <w:rFonts w:ascii="Times New Roman" w:hAnsi="Times New Roman" w:cs="Times New Roman"/>
          <w:sz w:val="22"/>
          <w:lang w:eastAsia="de-DE" w:bidi="en-US"/>
        </w:rPr>
      </w:pPr>
    </w:p>
    <w:p>
      <w:pPr>
        <w:pStyle w:val="13"/>
        <w:spacing w:after="0" w:line="36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Bo Wang</w:t>
      </w:r>
      <w:r>
        <w:rPr>
          <w:rFonts w:ascii="Times New Roman" w:hAnsi="Times New Roman" w:eastAsia="宋体"/>
          <w:b w:val="0"/>
          <w:sz w:val="22"/>
          <w:lang w:eastAsia="zh-CN"/>
        </w:rPr>
        <w:t xml:space="preserve"> </w:t>
      </w:r>
      <w:r>
        <w:rPr>
          <w:rFonts w:ascii="Times New Roman" w:hAnsi="Times New Roman"/>
          <w:b w:val="0"/>
          <w:sz w:val="22"/>
          <w:vertAlign w:val="superscript"/>
        </w:rPr>
        <w:t>a</w:t>
      </w:r>
      <w:r>
        <w:rPr>
          <w:rFonts w:ascii="Times New Roman" w:hAnsi="Times New Roman" w:eastAsiaTheme="minorEastAsia"/>
          <w:b w:val="0"/>
          <w:sz w:val="22"/>
          <w:vertAlign w:val="superscript"/>
          <w:lang w:eastAsia="zh-CN"/>
        </w:rPr>
        <w:t>, b</w:t>
      </w:r>
      <w:r>
        <w:rPr>
          <w:rFonts w:ascii="Times New Roman" w:hAnsi="Times New Roman"/>
          <w:b w:val="0"/>
          <w:sz w:val="22"/>
        </w:rPr>
        <w:t>, Leike Zhang</w:t>
      </w:r>
      <w:r>
        <w:rPr>
          <w:rFonts w:ascii="Times New Roman" w:hAnsi="Times New Roman" w:eastAsia="宋体"/>
          <w:b w:val="0"/>
          <w:sz w:val="22"/>
          <w:lang w:eastAsia="zh-CN"/>
        </w:rPr>
        <w:t xml:space="preserve"> </w:t>
      </w:r>
      <w:r>
        <w:rPr>
          <w:rFonts w:ascii="Times New Roman" w:hAnsi="Times New Roman"/>
          <w:b w:val="0"/>
          <w:sz w:val="22"/>
          <w:vertAlign w:val="superscript"/>
        </w:rPr>
        <w:t>a</w:t>
      </w:r>
      <w:r>
        <w:rPr>
          <w:rFonts w:ascii="Times New Roman" w:hAnsi="Times New Roman"/>
          <w:b w:val="0"/>
          <w:sz w:val="22"/>
        </w:rPr>
        <w:t>, Fei Deng</w:t>
      </w:r>
      <w:r>
        <w:rPr>
          <w:rFonts w:ascii="Times New Roman" w:hAnsi="Times New Roman" w:eastAsia="宋体"/>
          <w:b w:val="0"/>
          <w:sz w:val="22"/>
          <w:lang w:eastAsia="zh-CN"/>
        </w:rPr>
        <w:t xml:space="preserve"> </w:t>
      </w:r>
      <w:r>
        <w:rPr>
          <w:rFonts w:ascii="Times New Roman" w:hAnsi="Times New Roman"/>
          <w:b w:val="0"/>
          <w:sz w:val="22"/>
          <w:vertAlign w:val="superscript"/>
        </w:rPr>
        <w:t>a</w:t>
      </w:r>
      <w:r>
        <w:rPr>
          <w:rFonts w:ascii="Times New Roman" w:hAnsi="Times New Roman"/>
          <w:b w:val="0"/>
          <w:sz w:val="22"/>
        </w:rPr>
        <w:t>, Zhihong Hu</w:t>
      </w:r>
      <w:r>
        <w:rPr>
          <w:rFonts w:ascii="Times New Roman" w:hAnsi="Times New Roman" w:eastAsia="宋体"/>
          <w:b w:val="0"/>
          <w:sz w:val="22"/>
          <w:lang w:eastAsia="zh-CN"/>
        </w:rPr>
        <w:t xml:space="preserve"> </w:t>
      </w:r>
      <w:r>
        <w:rPr>
          <w:rFonts w:ascii="Times New Roman" w:hAnsi="Times New Roman"/>
          <w:b w:val="0"/>
          <w:sz w:val="22"/>
          <w:vertAlign w:val="superscript"/>
        </w:rPr>
        <w:t>a</w:t>
      </w:r>
      <w:r>
        <w:rPr>
          <w:rFonts w:ascii="Times New Roman" w:hAnsi="Times New Roman"/>
          <w:b w:val="0"/>
          <w:sz w:val="22"/>
        </w:rPr>
        <w:t>, Manli Wang</w:t>
      </w:r>
      <w:r>
        <w:rPr>
          <w:rFonts w:ascii="Times New Roman" w:hAnsi="Times New Roman" w:eastAsia="宋体"/>
          <w:b w:val="0"/>
          <w:sz w:val="22"/>
          <w:lang w:eastAsia="zh-CN"/>
        </w:rPr>
        <w:t xml:space="preserve"> </w:t>
      </w:r>
      <w:r>
        <w:rPr>
          <w:rFonts w:ascii="Times New Roman" w:hAnsi="Times New Roman"/>
          <w:b w:val="0"/>
          <w:sz w:val="22"/>
          <w:vertAlign w:val="superscript"/>
        </w:rPr>
        <w:t>a</w:t>
      </w:r>
      <w:r>
        <w:rPr>
          <w:rFonts w:ascii="Times New Roman" w:hAnsi="Times New Roman"/>
          <w:b w:val="0"/>
          <w:sz w:val="22"/>
        </w:rPr>
        <w:t>, Jia Liu</w:t>
      </w:r>
      <w:r>
        <w:rPr>
          <w:rFonts w:ascii="Times New Roman" w:hAnsi="Times New Roman" w:eastAsia="宋体"/>
          <w:b w:val="0"/>
          <w:sz w:val="22"/>
          <w:lang w:eastAsia="zh-CN"/>
        </w:rPr>
        <w:t xml:space="preserve"> </w:t>
      </w:r>
      <w:r>
        <w:rPr>
          <w:rFonts w:ascii="Times New Roman" w:hAnsi="Times New Roman"/>
          <w:b w:val="0"/>
          <w:sz w:val="22"/>
          <w:vertAlign w:val="superscript"/>
        </w:rPr>
        <w:t xml:space="preserve">a, </w:t>
      </w:r>
      <w:r>
        <w:rPr>
          <w:rFonts w:ascii="Times New Roman" w:hAnsi="Times New Roman"/>
          <w:b w:val="0"/>
          <w:sz w:val="22"/>
        </w:rPr>
        <w:t>*</w:t>
      </w:r>
    </w:p>
    <w:p>
      <w:pPr>
        <w:rPr>
          <w:rFonts w:ascii="Times New Roman" w:hAnsi="Times New Roman" w:cs="Times New Roman"/>
          <w:sz w:val="22"/>
          <w:lang w:eastAsia="de-DE" w:bidi="en-US"/>
        </w:rPr>
      </w:pPr>
    </w:p>
    <w:p>
      <w:pPr>
        <w:pStyle w:val="14"/>
        <w:spacing w:line="360" w:lineRule="auto"/>
        <w:ind w:left="0" w:right="55" w:rightChars="2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a</w:t>
      </w:r>
      <w:r>
        <w:rPr>
          <w:rFonts w:ascii="Times New Roman" w:hAnsi="Times New Roman"/>
          <w:sz w:val="22"/>
          <w:szCs w:val="22"/>
        </w:rPr>
        <w:t xml:space="preserve"> State Key Laboratory of Virology, Wuhan Institute of Virology, Center for Biosafety Mega-Science, Chinese Academy of Sciences, Wuhan, 430071, China;</w:t>
      </w:r>
    </w:p>
    <w:p>
      <w:pPr>
        <w:pStyle w:val="14"/>
        <w:spacing w:line="360" w:lineRule="auto"/>
        <w:ind w:left="0" w:right="55" w:rightChars="2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b</w:t>
      </w:r>
      <w:r>
        <w:rPr>
          <w:rFonts w:ascii="Times New Roman" w:hAnsi="Times New Roman"/>
          <w:sz w:val="22"/>
          <w:szCs w:val="22"/>
        </w:rPr>
        <w:t xml:space="preserve"> The Third Affiliated Hospital of Guangzhou Medical University, Guangzhou Medical University, Guangzhou, 511436, China;</w:t>
      </w:r>
    </w:p>
    <w:p>
      <w:pPr>
        <w:pStyle w:val="14"/>
        <w:spacing w:line="360" w:lineRule="auto"/>
        <w:ind w:left="0" w:right="55" w:rightChars="26" w:firstLine="0"/>
        <w:rPr>
          <w:rFonts w:ascii="Times New Roman" w:hAnsi="Times New Roman"/>
          <w:sz w:val="22"/>
          <w:szCs w:val="22"/>
        </w:rPr>
      </w:pPr>
    </w:p>
    <w:p>
      <w:pPr>
        <w:pStyle w:val="14"/>
        <w:spacing w:line="360" w:lineRule="auto"/>
        <w:ind w:left="0" w:right="55" w:rightChars="2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Corresponding author: </w:t>
      </w:r>
    </w:p>
    <w:p>
      <w:pPr>
        <w:pStyle w:val="14"/>
        <w:spacing w:line="360" w:lineRule="auto"/>
        <w:ind w:left="0" w:right="55" w:rightChars="2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address: liujia@wh.iov.cn (J. Liu)</w:t>
      </w:r>
    </w:p>
    <w:p>
      <w:pPr>
        <w:pStyle w:val="14"/>
        <w:spacing w:line="360" w:lineRule="auto"/>
        <w:ind w:left="0" w:right="55" w:rightChars="2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ORCID: </w:t>
      </w:r>
      <w:r>
        <w:rPr>
          <w:rFonts w:ascii="Times New Roman" w:hAnsi="Times New Roman" w:eastAsia="宋体"/>
          <w:bCs/>
          <w:sz w:val="24"/>
          <w:szCs w:val="24"/>
        </w:rPr>
        <w:t>https://orcid.org/0000-0003-0591-9895</w:t>
      </w:r>
    </w:p>
    <w:p>
      <w:pPr>
        <w:pStyle w:val="11"/>
        <w:spacing w:after="0" w:line="360" w:lineRule="auto"/>
        <w:ind w:left="0" w:right="55" w:rightChars="26"/>
        <w:jc w:val="left"/>
        <w:rPr>
          <w:rFonts w:ascii="Times New Roman" w:hAnsi="Times New Roman" w:eastAsiaTheme="minorEastAsia"/>
          <w:b/>
          <w:sz w:val="22"/>
          <w:szCs w:val="22"/>
        </w:rPr>
      </w:pPr>
    </w:p>
    <w:p>
      <w:pPr>
        <w:pStyle w:val="11"/>
        <w:spacing w:after="0" w:line="360" w:lineRule="auto"/>
        <w:ind w:left="0" w:right="55" w:rightChars="26"/>
        <w:jc w:val="left"/>
        <w:rPr>
          <w:rFonts w:ascii="Times New Roman" w:hAnsi="Times New Roman" w:eastAsiaTheme="minorEastAsia"/>
          <w:b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1"/>
        <w:spacing w:after="0" w:line="360" w:lineRule="auto"/>
        <w:ind w:left="0" w:right="55" w:rightChars="26"/>
        <w:jc w:val="left"/>
        <w:rPr>
          <w:rFonts w:ascii="Times New Roman" w:hAnsi="Times New Roman" w:eastAsiaTheme="minorEastAsia"/>
          <w:b/>
          <w:sz w:val="22"/>
          <w:szCs w:val="22"/>
        </w:rPr>
      </w:pPr>
      <w:r>
        <w:rPr>
          <w:rFonts w:ascii="Times New Roman" w:hAnsi="Times New Roman" w:eastAsiaTheme="minorEastAsia"/>
          <w:b/>
          <w:sz w:val="22"/>
          <w:szCs w:val="22"/>
          <w:lang w:eastAsia="zh-CN" w:bidi="ar-SA"/>
        </w:rPr>
        <w:drawing>
          <wp:inline distT="0" distB="0" distL="0" distR="0">
            <wp:extent cx="4359275" cy="17799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0"/>
        <w:spacing w:before="0" w:after="0" w:line="360" w:lineRule="auto"/>
        <w:ind w:left="0" w:right="55" w:rightChars="26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Figure S1. </w:t>
      </w:r>
      <w:r>
        <w:rPr>
          <w:rStyle w:val="7"/>
          <w:rFonts w:ascii="Times New Roman" w:hAnsi="Times New Roman" w:eastAsia="宋体"/>
          <w:sz w:val="22"/>
          <w:szCs w:val="22"/>
          <w:lang w:eastAsia="zh-CN" w:bidi="ar-SA"/>
        </w:rPr>
        <w:t xml:space="preserve">Cytotoxicity analysis of 17-AAG and 17-DMAG in HEK-293 cells. HEK-293 cells were treated with different concentrations of drugs or DMSO. After 24 h treatment, cell viability was determined with cell counting kit-8 as manufacturer’s protocol. </w:t>
      </w:r>
      <w:r>
        <w:rPr>
          <w:rFonts w:ascii="Times New Roman" w:hAnsi="Times New Roman"/>
          <w:sz w:val="22"/>
          <w:szCs w:val="22"/>
        </w:rPr>
        <w:t xml:space="preserve">Two independent experiments were performed. </w:t>
      </w:r>
      <w:r>
        <w:rPr>
          <w:rFonts w:ascii="Times New Roman" w:hAnsi="Times New Roman"/>
          <w:sz w:val="22"/>
          <w:szCs w:val="22"/>
          <w:lang w:eastAsia="en-US"/>
        </w:rPr>
        <w:t>Data are shown as the mean ± SD. Statistical significance was determined using one-way ANOVA followed by Dunnett's multiple comparisons test. ns, not significant;</w:t>
      </w:r>
      <w:r>
        <w:rPr>
          <w:rFonts w:ascii="Times New Roman" w:hAnsi="Times New Roman"/>
          <w:iCs/>
          <w:sz w:val="22"/>
          <w:szCs w:val="22"/>
          <w:lang w:eastAsia="en-US"/>
        </w:rPr>
        <w:t xml:space="preserve">; </w:t>
      </w:r>
      <w:r>
        <w:rPr>
          <w:rFonts w:ascii="Times New Roman" w:hAnsi="Times New Roman"/>
          <w:sz w:val="22"/>
          <w:szCs w:val="22"/>
          <w:lang w:eastAsia="en-US"/>
        </w:rPr>
        <w:t xml:space="preserve">****, </w:t>
      </w:r>
      <w:r>
        <w:rPr>
          <w:rFonts w:ascii="Times New Roman" w:hAnsi="Times New Roman"/>
          <w:i/>
          <w:iCs/>
          <w:sz w:val="22"/>
          <w:szCs w:val="22"/>
          <w:lang w:eastAsia="en-US"/>
        </w:rPr>
        <w:t xml:space="preserve">P </w:t>
      </w:r>
      <w:r>
        <w:rPr>
          <w:rFonts w:ascii="Times New Roman" w:hAnsi="Times New Roman"/>
          <w:sz w:val="22"/>
          <w:szCs w:val="22"/>
          <w:lang w:eastAsia="en-US"/>
        </w:rPr>
        <w:t>&lt; 0.0001.</w:t>
      </w:r>
    </w:p>
    <w:p>
      <w:pPr>
        <w:widowControl/>
        <w:jc w:val="left"/>
        <w:rPr>
          <w:rFonts w:ascii="Times New Roman" w:hAnsi="Times New Roman" w:eastAsia="Times New Roman" w:cs="Times New Roman"/>
          <w:color w:val="000000"/>
          <w:kern w:val="0"/>
          <w:sz w:val="22"/>
          <w:lang w:eastAsia="de-DE" w:bidi="en-US"/>
        </w:rPr>
      </w:pPr>
      <w:r>
        <w:rPr>
          <w:rFonts w:ascii="Times New Roman" w:hAnsi="Times New Roman"/>
          <w:sz w:val="22"/>
        </w:rPr>
        <w:br w:type="page"/>
      </w:r>
    </w:p>
    <w:p>
      <w:pPr>
        <w:pStyle w:val="10"/>
        <w:spacing w:before="0" w:after="0" w:line="360" w:lineRule="auto"/>
        <w:ind w:left="0" w:right="55" w:rightChars="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zh-CN" w:bidi="ar-SA"/>
        </w:rPr>
        <w:drawing>
          <wp:inline distT="0" distB="0" distL="0" distR="0">
            <wp:extent cx="3956685" cy="23774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1"/>
        <w:spacing w:after="0" w:line="360" w:lineRule="auto"/>
        <w:ind w:left="0" w:right="55" w:rightChars="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Figure S</w:t>
      </w:r>
      <w:r>
        <w:rPr>
          <w:rFonts w:ascii="Times New Roman" w:hAnsi="Times New Roman" w:eastAsia="宋体"/>
          <w:sz w:val="22"/>
          <w:szCs w:val="22"/>
          <w:lang w:eastAsia="zh-CN"/>
        </w:rPr>
        <w:t>2.</w:t>
      </w:r>
      <w:r>
        <w:rPr>
          <w:rStyle w:val="7"/>
          <w:rFonts w:ascii="Times New Roman" w:hAnsi="Times New Roman" w:eastAsia="宋体"/>
          <w:snapToGrid/>
          <w:sz w:val="22"/>
          <w:szCs w:val="22"/>
          <w:lang w:eastAsia="zh-CN" w:bidi="ar-SA"/>
        </w:rPr>
        <w:t xml:space="preserve"> </w:t>
      </w:r>
      <w:r>
        <w:rPr>
          <w:rFonts w:ascii="Times New Roman" w:hAnsi="Times New Roman"/>
          <w:sz w:val="22"/>
          <w:szCs w:val="22"/>
        </w:rPr>
        <w:t>NSs protein is the main target of H</w:t>
      </w:r>
      <w:r>
        <w:rPr>
          <w:rFonts w:ascii="Times New Roman" w:hAnsi="Times New Roman" w:eastAsia="宋体"/>
          <w:sz w:val="22"/>
          <w:szCs w:val="22"/>
          <w:lang w:eastAsia="zh-CN"/>
        </w:rPr>
        <w:t>sp</w:t>
      </w:r>
      <w:r>
        <w:rPr>
          <w:rFonts w:ascii="Times New Roman" w:hAnsi="Times New Roman"/>
          <w:sz w:val="22"/>
          <w:szCs w:val="22"/>
        </w:rPr>
        <w:t>90s</w:t>
      </w:r>
      <w:r>
        <w:rPr>
          <w:rFonts w:ascii="Times New Roman" w:hAnsi="Times New Roman" w:eastAsia="宋体"/>
          <w:sz w:val="22"/>
          <w:szCs w:val="22"/>
          <w:lang w:eastAsia="zh-CN"/>
        </w:rPr>
        <w:t xml:space="preserve"> inhibitor. </w:t>
      </w:r>
      <w:r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Workflow of the experiment. </w:t>
      </w:r>
      <w:r>
        <w:rPr>
          <w:rFonts w:ascii="Times New Roman" w:hAnsi="Times New Roman" w:eastAsia="宋体"/>
          <w:sz w:val="22"/>
          <w:szCs w:val="22"/>
          <w:lang w:eastAsia="zh-CN" w:bidi="ar"/>
        </w:rPr>
        <w:t xml:space="preserve">HEK-293 cells were infected with SFTSV at an MOI of 1. At 24 h </w:t>
      </w:r>
      <w:r>
        <w:rPr>
          <w:rFonts w:ascii="Times New Roman" w:hAnsi="Times New Roman"/>
          <w:sz w:val="22"/>
          <w:szCs w:val="22"/>
          <w:lang w:eastAsia="zh-CN" w:bidi="ar"/>
        </w:rPr>
        <w:t>post-infection</w:t>
      </w:r>
      <w:r>
        <w:rPr>
          <w:rFonts w:ascii="Times New Roman" w:hAnsi="Times New Roman" w:eastAsia="宋体"/>
          <w:sz w:val="22"/>
          <w:szCs w:val="22"/>
          <w:lang w:eastAsia="zh-CN" w:bidi="ar"/>
        </w:rPr>
        <w:t>, 17-AAG was added for another 6 h.</w:t>
      </w:r>
      <w:r>
        <w:rPr>
          <w:rFonts w:ascii="Times New Roman" w:hAnsi="Times New Roman"/>
          <w:sz w:val="22"/>
          <w:szCs w:val="22"/>
        </w:rPr>
        <w:t xml:space="preserve"> Fresh medium containing DMSO was used as a control.</w:t>
      </w:r>
      <w:r>
        <w:rPr>
          <w:rFonts w:ascii="Times New Roman" w:hAnsi="Times New Roman" w:eastAsia="宋体"/>
          <w:sz w:val="22"/>
          <w:szCs w:val="22"/>
          <w:lang w:eastAsia="zh-CN" w:bidi="a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cells were harvested at 6 h post-treatment for Western blotting analysis and </w:t>
      </w:r>
      <w:r>
        <w:rPr>
          <w:rFonts w:ascii="Times New Roman" w:hAnsi="Times New Roman" w:eastAsia="宋体"/>
          <w:sz w:val="22"/>
          <w:szCs w:val="22"/>
          <w:lang w:eastAsia="zh-CN" w:bidi="ar"/>
        </w:rPr>
        <w:t>quantification of viral mRNA.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 Results of Western blotting analyses. </w:t>
      </w:r>
      <w:r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 Q</w:t>
      </w:r>
      <w:r>
        <w:rPr>
          <w:rFonts w:ascii="Times New Roman" w:hAnsi="Times New Roman" w:eastAsia="宋体"/>
          <w:sz w:val="22"/>
          <w:szCs w:val="22"/>
          <w:lang w:eastAsia="zh-CN" w:bidi="ar"/>
        </w:rPr>
        <w:t>uantification of intracellular viral mRNA</w:t>
      </w:r>
      <w:r>
        <w:rPr>
          <w:rFonts w:ascii="Times New Roman" w:hAnsi="Times New Roman"/>
          <w:sz w:val="22"/>
          <w:szCs w:val="22"/>
        </w:rPr>
        <w:t xml:space="preserve">. The relative levels of viral and host proteins from Western blotting results were assessed using ImageJ software. </w:t>
      </w:r>
      <w:r>
        <w:rPr>
          <w:rFonts w:ascii="Times New Roman" w:hAnsi="Times New Roman"/>
          <w:sz w:val="22"/>
          <w:szCs w:val="22"/>
          <w:lang w:eastAsia="zh-CN"/>
        </w:rPr>
        <w:t>T</w:t>
      </w:r>
      <w:r>
        <w:rPr>
          <w:rFonts w:ascii="Times New Roman" w:hAnsi="Times New Roman"/>
          <w:sz w:val="22"/>
          <w:szCs w:val="22"/>
        </w:rPr>
        <w:t>wo independen</w:t>
      </w:r>
      <w:r>
        <w:rPr>
          <w:rFonts w:ascii="Times New Roman" w:hAnsi="Times New Roman"/>
          <w:sz w:val="22"/>
          <w:szCs w:val="22"/>
          <w:lang w:eastAsia="zh-CN"/>
        </w:rPr>
        <w:t xml:space="preserve">t </w:t>
      </w:r>
      <w:r>
        <w:rPr>
          <w:rFonts w:ascii="Times New Roman" w:hAnsi="Times New Roman"/>
          <w:sz w:val="22"/>
          <w:szCs w:val="22"/>
        </w:rPr>
        <w:t>experiments were performed</w:t>
      </w:r>
      <w:r>
        <w:rPr>
          <w:rFonts w:ascii="Times New Roman" w:hAnsi="Times New Roman"/>
          <w:sz w:val="22"/>
          <w:szCs w:val="22"/>
          <w:lang w:eastAsia="zh-CN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Data are shown as the mean ± SD. Statistical significance was determined using two-way ANOVA followed by Sidak's multiple comparisons test. ns, not significant.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 w:cs="Times New Roman"/>
      </w:rPr>
      <w:t>www.virosin.org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7470705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6"/>
    <w:rsid w:val="00151B25"/>
    <w:rsid w:val="001A4339"/>
    <w:rsid w:val="002860E4"/>
    <w:rsid w:val="003B5200"/>
    <w:rsid w:val="005D01E6"/>
    <w:rsid w:val="00985E0E"/>
    <w:rsid w:val="00A62267"/>
    <w:rsid w:val="00BD1412"/>
    <w:rsid w:val="18C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autoRedefine/>
    <w:semiHidden/>
    <w:unhideWhenUsed/>
    <w:qFormat/>
    <w:uiPriority w:val="99"/>
  </w:style>
  <w:style w:type="character" w:styleId="7">
    <w:name w:val="annotation reference"/>
    <w:basedOn w:val="5"/>
    <w:autoRedefine/>
    <w:qFormat/>
    <w:uiPriority w:val="99"/>
    <w:rPr>
      <w:sz w:val="21"/>
      <w:szCs w:val="21"/>
    </w:rPr>
  </w:style>
  <w:style w:type="character" w:customStyle="1" w:styleId="8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10">
    <w:name w:val="MDPI_5.1_figure_caption"/>
    <w:autoRedefine/>
    <w:qFormat/>
    <w:uiPriority w:val="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hAnsi="Palatino Linotype" w:eastAsia="Times New Roman" w:cs="Times New Roman"/>
      <w:color w:val="000000"/>
      <w:kern w:val="0"/>
      <w:sz w:val="18"/>
      <w:szCs w:val="20"/>
      <w:lang w:val="en-US" w:eastAsia="de-DE" w:bidi="en-US"/>
    </w:rPr>
  </w:style>
  <w:style w:type="paragraph" w:customStyle="1" w:styleId="11">
    <w:name w:val="MDPI_6.2_BackMatter"/>
    <w:autoRedefine/>
    <w:qFormat/>
    <w:uiPriority w:val="0"/>
    <w:pPr>
      <w:adjustRightInd w:val="0"/>
      <w:snapToGrid w:val="0"/>
      <w:spacing w:after="120" w:line="228" w:lineRule="auto"/>
      <w:ind w:left="2608"/>
      <w:jc w:val="both"/>
    </w:pPr>
    <w:rPr>
      <w:rFonts w:ascii="Palatino Linotype" w:hAnsi="Palatino Linotype" w:eastAsia="Times New Roman" w:cs="Times New Roman"/>
      <w:snapToGrid w:val="0"/>
      <w:color w:val="000000"/>
      <w:kern w:val="0"/>
      <w:sz w:val="18"/>
      <w:szCs w:val="20"/>
      <w:lang w:val="en-US" w:eastAsia="en-US" w:bidi="en-US"/>
    </w:rPr>
  </w:style>
  <w:style w:type="paragraph" w:customStyle="1" w:styleId="12">
    <w:name w:val="MDPI_1.2_title"/>
    <w:next w:val="1"/>
    <w:autoRedefine/>
    <w:qFormat/>
    <w:uiPriority w:val="0"/>
    <w:pPr>
      <w:adjustRightInd w:val="0"/>
      <w:snapToGrid w:val="0"/>
      <w:spacing w:after="240" w:line="240" w:lineRule="atLeast"/>
    </w:pPr>
    <w:rPr>
      <w:rFonts w:ascii="Palatino Linotype" w:hAnsi="Palatino Linotype" w:eastAsia="Times New Roman" w:cs="Times New Roman"/>
      <w:b/>
      <w:snapToGrid w:val="0"/>
      <w:color w:val="000000"/>
      <w:kern w:val="0"/>
      <w:sz w:val="36"/>
      <w:szCs w:val="20"/>
      <w:lang w:val="en-US" w:eastAsia="de-DE" w:bidi="en-US"/>
    </w:rPr>
  </w:style>
  <w:style w:type="paragraph" w:customStyle="1" w:styleId="13">
    <w:name w:val="MDPI_1.3_authornames"/>
    <w:next w:val="1"/>
    <w:autoRedefine/>
    <w:qFormat/>
    <w:uiPriority w:val="0"/>
    <w:pPr>
      <w:adjustRightInd w:val="0"/>
      <w:snapToGrid w:val="0"/>
      <w:spacing w:after="360" w:line="260" w:lineRule="atLeast"/>
    </w:pPr>
    <w:rPr>
      <w:rFonts w:ascii="Palatino Linotype" w:hAnsi="Palatino Linotype" w:eastAsia="Times New Roman" w:cs="Times New Roman"/>
      <w:b/>
      <w:color w:val="000000"/>
      <w:kern w:val="0"/>
      <w:sz w:val="20"/>
      <w:szCs w:val="22"/>
      <w:lang w:val="en-US" w:eastAsia="de-DE" w:bidi="en-US"/>
    </w:rPr>
  </w:style>
  <w:style w:type="paragraph" w:customStyle="1" w:styleId="14">
    <w:name w:val="MDPI_1.6_affiliation"/>
    <w:autoRedefine/>
    <w:qFormat/>
    <w:uiPriority w:val="0"/>
    <w:pPr>
      <w:adjustRightInd w:val="0"/>
      <w:snapToGrid w:val="0"/>
      <w:spacing w:line="200" w:lineRule="atLeast"/>
      <w:ind w:left="2806" w:hanging="198"/>
    </w:pPr>
    <w:rPr>
      <w:rFonts w:ascii="Palatino Linotype" w:hAnsi="Palatino Linotype" w:eastAsia="Times New Roman" w:cs="Times New Roman"/>
      <w:color w:val="000000"/>
      <w:kern w:val="0"/>
      <w:sz w:val="16"/>
      <w:szCs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278</Words>
  <Characters>1585</Characters>
  <Lines>13</Lines>
  <Paragraphs>3</Paragraphs>
  <TotalTime>23</TotalTime>
  <ScaleCrop>false</ScaleCrop>
  <LinksUpToDate>false</LinksUpToDate>
  <CharactersWithSpaces>1860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2023-11-22T08:14:00Z</dcterms:created>
  <dc:creator>VS</dc:creator>
  <cp:lastModifiedBy>Jerry</cp:lastModifiedBy>
  <dcterms:modified xsi:type="dcterms:W3CDTF">2024-02-21T04:04:35Z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B253395A77CB4AB9A88E11CF95C14B97_13</vt:lpwstr>
  </property>
</Properties>
</file>