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240" w:lineRule="auto"/>
        <w:rPr>
          <w:rFonts w:ascii="Times New Roman" w:hAnsi="Times New Roman" w:eastAsia="宋体" w:cs="Times New Roman"/>
          <w:b/>
          <w:w w:val="105"/>
          <w:sz w:val="30"/>
          <w:szCs w:val="30"/>
          <w14:ligatures w14:val="none"/>
        </w:rPr>
      </w:pPr>
      <w:bookmarkStart w:id="4" w:name="_GoBack"/>
      <w:bookmarkEnd w:id="4"/>
      <w:r>
        <w:rPr>
          <w:rFonts w:ascii="Times New Roman" w:hAnsi="Times New Roman" w:eastAsia="宋体" w:cs="Times New Roman"/>
          <w:b/>
          <w:w w:val="105"/>
          <w:sz w:val="30"/>
          <w:szCs w:val="30"/>
          <w14:ligatures w14:val="none"/>
        </w:rPr>
        <w:t>V</w:t>
      </w:r>
      <w:r>
        <w:rPr>
          <w:rFonts w:hint="eastAsia" w:ascii="Times New Roman" w:hAnsi="Times New Roman" w:eastAsia="宋体" w:cs="Times New Roman"/>
          <w:b/>
          <w:w w:val="105"/>
          <w:sz w:val="30"/>
          <w:szCs w:val="30"/>
          <w14:ligatures w14:val="none"/>
        </w:rPr>
        <w:t>irologica Sinica</w:t>
      </w:r>
    </w:p>
    <w:p>
      <w:pPr>
        <w:widowControl w:val="0"/>
        <w:spacing w:after="0" w:line="240" w:lineRule="auto"/>
        <w:rPr>
          <w:rFonts w:ascii="Times New Roman" w:hAnsi="Times New Roman" w:eastAsia="宋体" w:cs="Times New Roman"/>
          <w:w w:val="105"/>
          <w:sz w:val="24"/>
          <w:szCs w:val="24"/>
          <w14:ligatures w14:val="none"/>
        </w:rPr>
      </w:pPr>
    </w:p>
    <w:p>
      <w:pPr>
        <w:widowControl w:val="0"/>
        <w:spacing w:after="0" w:line="240" w:lineRule="auto"/>
        <w:rPr>
          <w:rFonts w:ascii="Times New Roman" w:hAnsi="Times New Roman" w:eastAsia="宋体" w:cs="Times New Roman"/>
          <w:b/>
          <w:bCs/>
          <w:color w:val="0078C1"/>
          <w:w w:val="105"/>
          <w:sz w:val="24"/>
          <w:szCs w:val="24"/>
          <w14:ligatures w14:val="none"/>
        </w:rPr>
      </w:pPr>
    </w:p>
    <w:p>
      <w:pPr>
        <w:widowControl w:val="0"/>
        <w:adjustRightInd w:val="0"/>
        <w:snapToGrid w:val="0"/>
        <w:spacing w:after="0" w:line="240" w:lineRule="auto"/>
        <w:rPr>
          <w:rFonts w:ascii="Times New Roman" w:hAnsi="Times New Roman" w:eastAsia="宋体" w:cs="Times New Roman"/>
          <w:b/>
          <w:bCs/>
          <w:w w:val="105"/>
          <w:sz w:val="30"/>
          <w:szCs w:val="30"/>
          <w14:ligatures w14:val="none"/>
        </w:rPr>
      </w:pPr>
      <w:r>
        <w:rPr>
          <w:rFonts w:ascii="Times New Roman" w:hAnsi="Times New Roman" w:eastAsia="宋体" w:cs="Times New Roman"/>
          <w:b/>
          <w:bCs/>
          <w:w w:val="105"/>
          <w:sz w:val="30"/>
          <w:szCs w:val="30"/>
          <w14:ligatures w14:val="none"/>
        </w:rPr>
        <w:t>Supplementary Data</w:t>
      </w:r>
    </w:p>
    <w:p>
      <w:pPr>
        <w:widowControl w:val="0"/>
        <w:adjustRightInd w:val="0"/>
        <w:snapToGrid w:val="0"/>
        <w:spacing w:after="0" w:line="240" w:lineRule="auto"/>
        <w:rPr>
          <w:rFonts w:ascii="Times New Roman" w:hAnsi="Times New Roman" w:eastAsia="宋体" w:cs="Times New Roman"/>
          <w:b/>
          <w:bCs/>
          <w:w w:val="105"/>
          <w:sz w:val="30"/>
          <w:szCs w:val="30"/>
          <w14:ligatures w14:val="none"/>
        </w:rPr>
      </w:pPr>
    </w:p>
    <w:p>
      <w:pPr>
        <w:widowControl w:val="0"/>
        <w:adjustRightInd w:val="0"/>
        <w:snapToGrid w:val="0"/>
        <w:spacing w:after="0" w:line="240" w:lineRule="auto"/>
        <w:rPr>
          <w:rFonts w:ascii="Times New Roman" w:hAnsi="Times New Roman" w:eastAsia="宋体" w:cs="Times New Roman"/>
          <w:b/>
          <w:bCs/>
          <w:color w:val="0078C1"/>
          <w:w w:val="105"/>
          <w:sz w:val="30"/>
          <w:szCs w:val="30"/>
          <w14:ligatures w14:val="none"/>
        </w:rPr>
      </w:pPr>
    </w:p>
    <w:p>
      <w:pPr>
        <w:widowControl w:val="0"/>
        <w:spacing w:after="0" w:line="360" w:lineRule="auto"/>
        <w:jc w:val="center"/>
        <w:rPr>
          <w:rFonts w:ascii="Times New Roman" w:hAnsi="Times New Roman" w:eastAsia="Whitney-Semibold" w:cs="Times New Roman"/>
          <w:b/>
          <w:kern w:val="0"/>
          <w:sz w:val="28"/>
          <w:szCs w:val="28"/>
          <w14:ligatures w14:val="none"/>
        </w:rPr>
      </w:pPr>
      <w:r>
        <w:rPr>
          <w:rFonts w:ascii="Times New Roman" w:hAnsi="Times New Roman" w:eastAsia="Whitney-Semibold" w:cs="Times New Roman"/>
          <w:b/>
          <w:kern w:val="0"/>
          <w:sz w:val="28"/>
          <w:szCs w:val="28"/>
          <w14:ligatures w14:val="none"/>
        </w:rPr>
        <w:t>Phosphorylation of PB2 at serine 181 restricts viral replication and virulence of the highly pathogenic H5N1 avian influenza virus in mice</w:t>
      </w:r>
    </w:p>
    <w:p>
      <w:pPr>
        <w:widowControl w:val="0"/>
        <w:spacing w:after="0" w:line="360" w:lineRule="auto"/>
        <w:jc w:val="center"/>
        <w:rPr>
          <w:rFonts w:ascii="Times New Roman" w:hAnsi="Times New Roman" w:eastAsia="宋体" w:cs="Times New Roman"/>
          <w:b/>
          <w:bCs/>
          <w:sz w:val="30"/>
          <w:szCs w:val="30"/>
          <w14:ligatures w14:val="none"/>
        </w:rPr>
      </w:pPr>
    </w:p>
    <w:p>
      <w:pPr>
        <w:widowControl w:val="0"/>
        <w:spacing w:after="0" w:line="360" w:lineRule="auto"/>
        <w:jc w:val="both"/>
        <w:rPr>
          <w:rFonts w:ascii="Times New Roman" w:hAnsi="Times New Roman" w:eastAsia="宋体" w:cs="Times New Roman"/>
          <w:kern w:val="0"/>
          <w:sz w:val="20"/>
          <w:szCs w:val="20"/>
          <w14:ligatures w14:val="none"/>
        </w:rPr>
      </w:pPr>
      <w:bookmarkStart w:id="0" w:name="_Hlk136813348"/>
      <w:r>
        <w:rPr>
          <w:rFonts w:ascii="Times New Roman" w:hAnsi="Times New Roman" w:eastAsia="宋体" w:cs="Times New Roman"/>
          <w:kern w:val="0"/>
          <w:sz w:val="20"/>
          <w:szCs w:val="20"/>
          <w14:ligatures w14:val="none"/>
        </w:rPr>
        <w:t xml:space="preserve">Jiao Hu </w:t>
      </w:r>
      <w:r>
        <w:rPr>
          <w:rFonts w:ascii="Times New Roman" w:hAnsi="Times New Roman" w:eastAsia="宋体" w:cs="Times New Roman"/>
          <w:kern w:val="0"/>
          <w:sz w:val="20"/>
          <w:szCs w:val="20"/>
          <w:vertAlign w:val="superscript"/>
          <w14:ligatures w14:val="none"/>
        </w:rPr>
        <w:t>a,c,d, 1</w:t>
      </w:r>
      <w:r>
        <w:rPr>
          <w:rFonts w:ascii="Times New Roman" w:hAnsi="Times New Roman" w:eastAsia="宋体" w:cs="Times New Roman"/>
          <w:kern w:val="0"/>
          <w:sz w:val="20"/>
          <w:szCs w:val="20"/>
          <w14:ligatures w14:val="none"/>
        </w:rPr>
        <w:t xml:space="preserve">, Zixiong Zeng </w:t>
      </w:r>
      <w:r>
        <w:rPr>
          <w:rFonts w:ascii="Times New Roman" w:hAnsi="Times New Roman" w:eastAsia="宋体" w:cs="Times New Roman"/>
          <w:kern w:val="0"/>
          <w:sz w:val="20"/>
          <w:szCs w:val="20"/>
          <w:vertAlign w:val="superscript"/>
          <w14:ligatures w14:val="none"/>
        </w:rPr>
        <w:t>a,c,d,1</w:t>
      </w:r>
      <w:r>
        <w:rPr>
          <w:rFonts w:ascii="Times New Roman" w:hAnsi="Times New Roman" w:eastAsia="宋体" w:cs="Times New Roman"/>
          <w:kern w:val="0"/>
          <w:sz w:val="20"/>
          <w:szCs w:val="20"/>
          <w14:ligatures w14:val="none"/>
        </w:rPr>
        <w:t>, Xia Chen</w:t>
      </w:r>
      <w:r>
        <w:rPr>
          <w:rFonts w:ascii="Times New Roman" w:hAnsi="Times New Roman" w:eastAsia="宋体" w:cs="Times New Roman"/>
          <w:kern w:val="0"/>
          <w:sz w:val="20"/>
          <w:szCs w:val="20"/>
          <w:vertAlign w:val="superscript"/>
          <w14:ligatures w14:val="none"/>
        </w:rPr>
        <w:t>a,c,d</w:t>
      </w:r>
      <w:r>
        <w:rPr>
          <w:rFonts w:ascii="Times New Roman" w:hAnsi="Times New Roman" w:eastAsia="宋体" w:cs="Times New Roman"/>
          <w:kern w:val="0"/>
          <w:sz w:val="20"/>
          <w:szCs w:val="20"/>
          <w14:ligatures w14:val="none"/>
        </w:rPr>
        <w:t>, Manyu Zhang</w:t>
      </w:r>
      <w:r>
        <w:rPr>
          <w:rFonts w:ascii="Times New Roman" w:hAnsi="Times New Roman" w:eastAsia="宋体" w:cs="Times New Roman"/>
          <w:kern w:val="0"/>
          <w:sz w:val="20"/>
          <w:szCs w:val="20"/>
          <w:vertAlign w:val="superscript"/>
          <w14:ligatures w14:val="none"/>
        </w:rPr>
        <w:t xml:space="preserve"> a,c,d</w:t>
      </w:r>
      <w:r>
        <w:rPr>
          <w:rFonts w:ascii="Times New Roman" w:hAnsi="Times New Roman" w:eastAsia="宋体" w:cs="Times New Roman"/>
          <w:kern w:val="0"/>
          <w:sz w:val="20"/>
          <w:szCs w:val="20"/>
          <w14:ligatures w14:val="none"/>
        </w:rPr>
        <w:t xml:space="preserve">, Zenglei Hu </w:t>
      </w:r>
      <w:r>
        <w:rPr>
          <w:rFonts w:ascii="Times New Roman" w:hAnsi="Times New Roman" w:eastAsia="宋体" w:cs="Times New Roman"/>
          <w:kern w:val="0"/>
          <w:sz w:val="20"/>
          <w:szCs w:val="20"/>
          <w:vertAlign w:val="superscript"/>
          <w14:ligatures w14:val="none"/>
        </w:rPr>
        <w:t>a,b</w:t>
      </w:r>
      <w:r>
        <w:rPr>
          <w:rFonts w:ascii="Times New Roman" w:hAnsi="Times New Roman" w:eastAsia="宋体" w:cs="Times New Roman"/>
          <w:kern w:val="0"/>
          <w:sz w:val="20"/>
          <w:szCs w:val="20"/>
          <w14:ligatures w14:val="none"/>
        </w:rPr>
        <w:t xml:space="preserve">, Min Gu </w:t>
      </w:r>
      <w:r>
        <w:rPr>
          <w:rFonts w:ascii="Times New Roman" w:hAnsi="Times New Roman" w:eastAsia="宋体" w:cs="Times New Roman"/>
          <w:kern w:val="0"/>
          <w:sz w:val="20"/>
          <w:szCs w:val="20"/>
          <w:vertAlign w:val="superscript"/>
          <w14:ligatures w14:val="none"/>
        </w:rPr>
        <w:t>a,c,d</w:t>
      </w:r>
      <w:r>
        <w:rPr>
          <w:rFonts w:ascii="Times New Roman" w:hAnsi="Times New Roman" w:eastAsia="宋体" w:cs="Times New Roman"/>
          <w:kern w:val="0"/>
          <w:sz w:val="20"/>
          <w:szCs w:val="20"/>
          <w14:ligatures w14:val="none"/>
        </w:rPr>
        <w:t xml:space="preserve">, Xiaoquan Wang </w:t>
      </w:r>
      <w:r>
        <w:rPr>
          <w:rFonts w:ascii="Times New Roman" w:hAnsi="Times New Roman" w:eastAsia="宋体" w:cs="Times New Roman"/>
          <w:kern w:val="0"/>
          <w:sz w:val="20"/>
          <w:szCs w:val="20"/>
          <w:vertAlign w:val="superscript"/>
          <w14:ligatures w14:val="none"/>
        </w:rPr>
        <w:t>a,c,d</w:t>
      </w:r>
      <w:r>
        <w:rPr>
          <w:rFonts w:ascii="Times New Roman" w:hAnsi="Times New Roman" w:eastAsia="宋体" w:cs="Times New Roman"/>
          <w:kern w:val="0"/>
          <w:sz w:val="20"/>
          <w:szCs w:val="20"/>
          <w14:ligatures w14:val="none"/>
        </w:rPr>
        <w:t xml:space="preserve">, Ruyi Gao </w:t>
      </w:r>
      <w:r>
        <w:rPr>
          <w:rFonts w:ascii="Times New Roman" w:hAnsi="Times New Roman" w:eastAsia="宋体" w:cs="Times New Roman"/>
          <w:kern w:val="0"/>
          <w:sz w:val="20"/>
          <w:szCs w:val="20"/>
          <w:vertAlign w:val="superscript"/>
          <w14:ligatures w14:val="none"/>
        </w:rPr>
        <w:t>a,c,d</w:t>
      </w:r>
      <w:r>
        <w:rPr>
          <w:rFonts w:ascii="Times New Roman" w:hAnsi="Times New Roman" w:eastAsia="宋体" w:cs="Times New Roman"/>
          <w:kern w:val="0"/>
          <w:sz w:val="20"/>
          <w:szCs w:val="20"/>
          <w14:ligatures w14:val="none"/>
        </w:rPr>
        <w:t xml:space="preserve">, Shunlin Hu </w:t>
      </w:r>
      <w:r>
        <w:rPr>
          <w:rFonts w:ascii="Times New Roman" w:hAnsi="Times New Roman" w:eastAsia="宋体" w:cs="Times New Roman"/>
          <w:kern w:val="0"/>
          <w:sz w:val="20"/>
          <w:szCs w:val="20"/>
          <w:vertAlign w:val="superscript"/>
          <w14:ligatures w14:val="none"/>
        </w:rPr>
        <w:t>a,c,d</w:t>
      </w:r>
      <w:r>
        <w:rPr>
          <w:rFonts w:ascii="Times New Roman" w:hAnsi="Times New Roman" w:eastAsia="宋体" w:cs="Times New Roman"/>
          <w:kern w:val="0"/>
          <w:sz w:val="20"/>
          <w:szCs w:val="20"/>
          <w14:ligatures w14:val="none"/>
        </w:rPr>
        <w:t>, Yu Chen</w:t>
      </w:r>
      <w:r>
        <w:rPr>
          <w:rFonts w:ascii="Times New Roman" w:hAnsi="Times New Roman" w:eastAsia="宋体" w:cs="Times New Roman"/>
          <w:kern w:val="0"/>
          <w:sz w:val="20"/>
          <w:szCs w:val="20"/>
          <w:vertAlign w:val="superscript"/>
          <w14:ligatures w14:val="none"/>
        </w:rPr>
        <w:t xml:space="preserve"> a,c,d</w:t>
      </w:r>
      <w:r>
        <w:rPr>
          <w:rFonts w:ascii="Times New Roman" w:hAnsi="Times New Roman" w:eastAsia="宋体" w:cs="Times New Roman"/>
          <w:kern w:val="0"/>
          <w:sz w:val="20"/>
          <w:szCs w:val="20"/>
          <w14:ligatures w14:val="none"/>
        </w:rPr>
        <w:t xml:space="preserve">, Xiaowen Liu </w:t>
      </w:r>
      <w:r>
        <w:rPr>
          <w:rFonts w:ascii="Times New Roman" w:hAnsi="Times New Roman" w:eastAsia="宋体" w:cs="Times New Roman"/>
          <w:kern w:val="0"/>
          <w:sz w:val="20"/>
          <w:szCs w:val="20"/>
          <w:vertAlign w:val="superscript"/>
          <w14:ligatures w14:val="none"/>
        </w:rPr>
        <w:t>a,c,d</w:t>
      </w:r>
      <w:r>
        <w:rPr>
          <w:rFonts w:ascii="Times New Roman" w:hAnsi="Times New Roman" w:eastAsia="宋体" w:cs="Times New Roman"/>
          <w:kern w:val="0"/>
          <w:sz w:val="20"/>
          <w:szCs w:val="20"/>
          <w14:ligatures w14:val="none"/>
        </w:rPr>
        <w:t xml:space="preserve">, Daxin Peng </w:t>
      </w:r>
      <w:r>
        <w:rPr>
          <w:rFonts w:ascii="Times New Roman" w:hAnsi="Times New Roman" w:eastAsia="宋体" w:cs="Times New Roman"/>
          <w:kern w:val="0"/>
          <w:sz w:val="20"/>
          <w:szCs w:val="20"/>
          <w:vertAlign w:val="superscript"/>
          <w14:ligatures w14:val="none"/>
        </w:rPr>
        <w:t>a,c,d</w:t>
      </w:r>
      <w:r>
        <w:rPr>
          <w:rFonts w:ascii="Times New Roman" w:hAnsi="Times New Roman" w:eastAsia="宋体" w:cs="Times New Roman"/>
          <w:kern w:val="0"/>
          <w:sz w:val="20"/>
          <w:szCs w:val="20"/>
          <w14:ligatures w14:val="none"/>
        </w:rPr>
        <w:t xml:space="preserve">, Xiufan Liu </w:t>
      </w:r>
      <w:r>
        <w:rPr>
          <w:rFonts w:ascii="Times New Roman" w:hAnsi="Times New Roman" w:eastAsia="宋体" w:cs="Times New Roman"/>
          <w:kern w:val="0"/>
          <w:sz w:val="20"/>
          <w:szCs w:val="20"/>
          <w:vertAlign w:val="superscript"/>
          <w14:ligatures w14:val="none"/>
        </w:rPr>
        <w:t xml:space="preserve">a,c,d, </w:t>
      </w:r>
      <w:r>
        <w:rPr>
          <w:rFonts w:ascii="Times New Roman" w:hAnsi="Times New Roman" w:eastAsia="宋体" w:cs="Times New Roman"/>
          <w:kern w:val="0"/>
          <w:sz w:val="20"/>
          <w:szCs w:val="20"/>
          <w14:ligatures w14:val="none"/>
        </w:rPr>
        <w:t xml:space="preserve">* </w:t>
      </w:r>
    </w:p>
    <w:p>
      <w:pPr>
        <w:spacing w:line="360" w:lineRule="auto"/>
        <w:jc w:val="both"/>
        <w:rPr>
          <w:rFonts w:ascii="Times New Roman" w:hAnsi="Times New Roman" w:eastAsia="等线" w:cs="Times New Roman"/>
          <w:b/>
          <w:sz w:val="24"/>
          <w:szCs w:val="24"/>
          <w:vertAlign w:val="superscript"/>
        </w:rPr>
      </w:pPr>
    </w:p>
    <w:bookmarkEnd w:id="0"/>
    <w:p>
      <w:pPr>
        <w:spacing w:before="120" w:after="240" w:line="240" w:lineRule="auto"/>
        <w:jc w:val="both"/>
        <w:rPr>
          <w:rFonts w:ascii="Times New Roman" w:hAnsi="Times New Roman" w:eastAsia="宋体" w:cs="Times New Roman"/>
          <w:i/>
          <w:kern w:val="0"/>
          <w14:ligatures w14:val="none"/>
        </w:rPr>
      </w:pPr>
      <w:r>
        <w:rPr>
          <w:rFonts w:ascii="Times New Roman" w:hAnsi="Times New Roman" w:eastAsia="宋体" w:cs="Times New Roman"/>
          <w:i/>
          <w:kern w:val="0"/>
          <w:vertAlign w:val="superscript"/>
          <w14:ligatures w14:val="none"/>
        </w:rPr>
        <w:t>a</w:t>
      </w:r>
      <w:r>
        <w:rPr>
          <w:rFonts w:ascii="Times New Roman" w:hAnsi="Times New Roman" w:eastAsia="宋体" w:cs="Times New Roman"/>
          <w:i/>
          <w:kern w:val="0"/>
          <w14:ligatures w14:val="none"/>
        </w:rPr>
        <w:t xml:space="preserve"> Animal Infectious Disease Laboratory, School of Veterinary Medicine, Yangzhou University, Yangzhou, 225009, China  </w:t>
      </w:r>
    </w:p>
    <w:p>
      <w:pPr>
        <w:spacing w:before="120" w:after="240" w:line="240" w:lineRule="auto"/>
        <w:jc w:val="both"/>
        <w:rPr>
          <w:rFonts w:ascii="Times New Roman" w:hAnsi="Times New Roman" w:eastAsia="宋体" w:cs="Times New Roman"/>
          <w:i/>
          <w:kern w:val="0"/>
          <w14:ligatures w14:val="none"/>
        </w:rPr>
      </w:pPr>
      <w:r>
        <w:rPr>
          <w:rFonts w:ascii="Times New Roman" w:hAnsi="Times New Roman" w:eastAsia="宋体" w:cs="Times New Roman"/>
          <w:i/>
          <w:kern w:val="0"/>
          <w:vertAlign w:val="superscript"/>
          <w14:ligatures w14:val="none"/>
        </w:rPr>
        <w:t>b</w:t>
      </w:r>
      <w:r>
        <w:rPr>
          <w:rFonts w:ascii="Times New Roman" w:hAnsi="Times New Roman" w:eastAsia="宋体" w:cs="Times New Roman"/>
          <w:i/>
          <w:kern w:val="0"/>
          <w14:ligatures w14:val="none"/>
        </w:rPr>
        <w:t xml:space="preserve"> Joint International Research Laboratory of Agriculture and Agri-Product Safety, The Ministry of Education of China, Yangzhou University, 225009, China</w:t>
      </w:r>
    </w:p>
    <w:p>
      <w:pPr>
        <w:spacing w:before="120" w:after="240" w:line="240" w:lineRule="auto"/>
        <w:jc w:val="both"/>
        <w:rPr>
          <w:rFonts w:ascii="Times New Roman" w:hAnsi="Times New Roman" w:eastAsia="宋体" w:cs="Times New Roman"/>
          <w:i/>
          <w:kern w:val="0"/>
          <w14:ligatures w14:val="none"/>
        </w:rPr>
      </w:pPr>
      <w:r>
        <w:rPr>
          <w:rFonts w:ascii="Times New Roman" w:hAnsi="Times New Roman" w:eastAsia="宋体" w:cs="Times New Roman"/>
          <w:i/>
          <w:kern w:val="0"/>
          <w:vertAlign w:val="superscript"/>
          <w14:ligatures w14:val="none"/>
        </w:rPr>
        <w:t>c</w:t>
      </w:r>
      <w:r>
        <w:rPr>
          <w:rFonts w:ascii="Times New Roman" w:hAnsi="Times New Roman" w:eastAsia="宋体" w:cs="Times New Roman"/>
          <w:i/>
          <w:kern w:val="0"/>
          <w14:ligatures w14:val="none"/>
        </w:rPr>
        <w:t xml:space="preserve"> Jiangsu Co-Innovation Center for Prevention and Control of Important Animal Infectious Diseases and Zoonosis, Yangzhou University, Yangzhou, 225009, China</w:t>
      </w:r>
    </w:p>
    <w:p>
      <w:pPr>
        <w:spacing w:before="120" w:after="240" w:line="240" w:lineRule="auto"/>
        <w:jc w:val="both"/>
        <w:rPr>
          <w:rFonts w:ascii="Times New Roman" w:hAnsi="Times New Roman" w:eastAsia="宋体" w:cs="Times New Roman"/>
          <w:i/>
          <w:kern w:val="0"/>
          <w14:ligatures w14:val="none"/>
        </w:rPr>
      </w:pPr>
      <w:r>
        <w:rPr>
          <w:rFonts w:ascii="Times New Roman" w:hAnsi="Times New Roman" w:eastAsia="宋体" w:cs="Times New Roman"/>
          <w:i/>
          <w:kern w:val="0"/>
          <w:vertAlign w:val="superscript"/>
          <w14:ligatures w14:val="none"/>
        </w:rPr>
        <w:t>d</w:t>
      </w:r>
      <w:r>
        <w:rPr>
          <w:rFonts w:ascii="Times New Roman" w:hAnsi="Times New Roman" w:eastAsia="宋体" w:cs="Times New Roman"/>
          <w:i/>
          <w:kern w:val="0"/>
          <w14:ligatures w14:val="none"/>
        </w:rPr>
        <w:t xml:space="preserve"> Key Laboratory of Prevention and Control of Biological Hazard Factors (Animal Origin) for Agri-food Safety and Quality, Ministry of Agriculture of China (26116120), Yangzhou University, Yangzhou, 225009,</w:t>
      </w:r>
      <w:r>
        <w:rPr>
          <w:rFonts w:hint="eastAsia" w:ascii="Times New Roman" w:hAnsi="Times New Roman" w:eastAsia="宋体" w:cs="Times New Roman"/>
          <w:i/>
          <w:kern w:val="0"/>
          <w14:ligatures w14:val="none"/>
        </w:rPr>
        <w:t xml:space="preserve"> </w:t>
      </w:r>
      <w:r>
        <w:rPr>
          <w:rFonts w:ascii="Times New Roman" w:hAnsi="Times New Roman" w:eastAsia="宋体" w:cs="Times New Roman"/>
          <w:i/>
          <w:kern w:val="0"/>
          <w14:ligatures w14:val="none"/>
        </w:rPr>
        <w:t>China</w:t>
      </w:r>
    </w:p>
    <w:p>
      <w:pPr>
        <w:widowControl w:val="0"/>
        <w:spacing w:after="0" w:line="360" w:lineRule="auto"/>
        <w:jc w:val="both"/>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*Corresponding author.</w:t>
      </w:r>
    </w:p>
    <w:p>
      <w:pPr>
        <w:widowControl w:val="0"/>
        <w:spacing w:after="0" w:line="360" w:lineRule="auto"/>
        <w:jc w:val="both"/>
        <w:rPr>
          <w:rFonts w:ascii="Times New Roman" w:hAnsi="Times New Roman" w:eastAsia="宋体" w:cs="Times New Roman"/>
          <w:color w:val="0000FF"/>
          <w:kern w:val="0"/>
          <w:sz w:val="20"/>
          <w:szCs w:val="20"/>
          <w:u w:val="single"/>
          <w14:ligatures w14:val="none"/>
        </w:rPr>
      </w:pPr>
      <w:r>
        <w:rPr>
          <w:rFonts w:ascii="Times New Roman" w:hAnsi="Times New Roman" w:eastAsia="宋体" w:cs="Times New Roman"/>
          <w:b/>
          <w:kern w:val="0"/>
          <w:sz w:val="20"/>
          <w:szCs w:val="20"/>
          <w14:ligatures w14:val="none"/>
        </w:rPr>
        <w:t xml:space="preserve">E-mail: </w:t>
      </w:r>
      <w:r>
        <w:fldChar w:fldCharType="begin"/>
      </w:r>
      <w:r>
        <w:instrText xml:space="preserve"> HYPERLINK "mailto:xfliu@yzu.edu.cn" </w:instrText>
      </w:r>
      <w:r>
        <w:fldChar w:fldCharType="separate"/>
      </w:r>
      <w:r>
        <w:rPr>
          <w:rFonts w:ascii="Times New Roman" w:hAnsi="Times New Roman" w:eastAsia="宋体" w:cs="Times New Roman"/>
          <w:color w:val="0000FF"/>
          <w:kern w:val="0"/>
          <w:sz w:val="20"/>
          <w:szCs w:val="20"/>
          <w:u w:val="single"/>
          <w14:ligatures w14:val="none"/>
        </w:rPr>
        <w:t>xfliu@yzu.edu.cn</w:t>
      </w:r>
      <w:r>
        <w:rPr>
          <w:rFonts w:ascii="Times New Roman" w:hAnsi="Times New Roman" w:eastAsia="宋体" w:cs="Times New Roman"/>
          <w:color w:val="0000FF"/>
          <w:kern w:val="0"/>
          <w:sz w:val="20"/>
          <w:szCs w:val="20"/>
          <w:u w:val="single"/>
          <w14:ligatures w14:val="none"/>
        </w:rPr>
        <w:fldChar w:fldCharType="end"/>
      </w:r>
      <w:r>
        <w:rPr>
          <w:rFonts w:hint="eastAsia" w:ascii="Times New Roman" w:hAnsi="Times New Roman" w:eastAsia="宋体" w:cs="Times New Roman"/>
          <w:color w:val="0000FF"/>
          <w:kern w:val="0"/>
          <w:sz w:val="20"/>
          <w:szCs w:val="20"/>
          <w:u w:val="single"/>
          <w14:ligatures w14:val="none"/>
        </w:rPr>
        <w:t xml:space="preserve"> (X. </w:t>
      </w:r>
      <w:r>
        <w:rPr>
          <w:rFonts w:ascii="Times New Roman" w:hAnsi="Times New Roman" w:eastAsia="宋体" w:cs="Times New Roman"/>
          <w:color w:val="0000FF"/>
          <w:kern w:val="0"/>
          <w:sz w:val="20"/>
          <w:szCs w:val="20"/>
          <w:u w:val="single"/>
          <w14:ligatures w14:val="none"/>
        </w:rPr>
        <w:t>Liu</w:t>
      </w:r>
      <w:r>
        <w:rPr>
          <w:rFonts w:hint="eastAsia" w:ascii="Times New Roman" w:hAnsi="Times New Roman" w:eastAsia="宋体" w:cs="Times New Roman"/>
          <w:color w:val="0000FF"/>
          <w:kern w:val="0"/>
          <w:sz w:val="20"/>
          <w:szCs w:val="20"/>
          <w:u w:val="single"/>
          <w14:ligatures w14:val="none"/>
        </w:rPr>
        <w:t>)</w:t>
      </w:r>
    </w:p>
    <w:p>
      <w:pPr>
        <w:widowControl w:val="0"/>
        <w:spacing w:after="0" w:line="360" w:lineRule="auto"/>
        <w:jc w:val="both"/>
        <w:rPr>
          <w:rFonts w:ascii="Times New Roman" w:hAnsi="Times New Roman" w:eastAsia="宋体" w:cs="Times New Roman"/>
          <w:color w:val="0000FF"/>
          <w:kern w:val="0"/>
          <w:sz w:val="20"/>
          <w:szCs w:val="20"/>
          <w:u w:val="single"/>
          <w14:ligatures w14:val="none"/>
        </w:rPr>
      </w:pPr>
    </w:p>
    <w:p>
      <w:pPr>
        <w:spacing w:before="120" w:after="240" w:line="240" w:lineRule="auto"/>
        <w:jc w:val="both"/>
        <w:rPr>
          <w:rFonts w:ascii="Times New Roman" w:hAnsi="Times New Roman" w:eastAsia="等线" w:cs="Times New Roman"/>
          <w14:ligatures w14:val="none"/>
        </w:rPr>
      </w:pPr>
      <w:r>
        <w:rPr>
          <w:rFonts w:hint="eastAsia" w:ascii="Times New Roman" w:hAnsi="Times New Roman" w:eastAsia="楷体" w:cs="宋体"/>
          <w:color w:val="000000"/>
          <w:sz w:val="21"/>
          <w:szCs w:val="24"/>
          <w:vertAlign w:val="superscript"/>
          <w14:ligatures w14:val="none"/>
        </w:rPr>
        <w:t>1</w:t>
      </w:r>
      <w:r>
        <w:rPr>
          <w:rFonts w:hint="eastAsia" w:ascii="Times New Roman" w:hAnsi="Times New Roman" w:eastAsia="楷体" w:cs="宋体"/>
          <w:color w:val="000000"/>
          <w:sz w:val="21"/>
          <w:szCs w:val="24"/>
          <w14:ligatures w14:val="none"/>
        </w:rPr>
        <w:t xml:space="preserve"> </w:t>
      </w:r>
      <w:r>
        <w:rPr>
          <w:rFonts w:ascii="Times New Roman" w:hAnsi="Times New Roman" w:eastAsia="楷体" w:cs="宋体"/>
          <w:color w:val="000000"/>
          <w:sz w:val="21"/>
          <w:szCs w:val="24"/>
          <w14:ligatures w14:val="none"/>
        </w:rPr>
        <w:t xml:space="preserve">Jiao Hu </w:t>
      </w:r>
      <w:r>
        <w:rPr>
          <w:rFonts w:hint="eastAsia" w:ascii="Times New Roman" w:hAnsi="Times New Roman" w:eastAsia="楷体" w:cs="宋体"/>
          <w:color w:val="000000"/>
          <w:sz w:val="21"/>
          <w:szCs w:val="24"/>
          <w14:ligatures w14:val="none"/>
        </w:rPr>
        <w:t>and</w:t>
      </w:r>
      <w:r>
        <w:rPr>
          <w:rFonts w:ascii="Times New Roman" w:hAnsi="Times New Roman" w:eastAsia="楷体" w:cs="宋体"/>
          <w:color w:val="000000"/>
          <w:sz w:val="21"/>
          <w:szCs w:val="24"/>
          <w14:ligatures w14:val="none"/>
        </w:rPr>
        <w:t xml:space="preserve"> Zixiong Zeng</w:t>
      </w:r>
      <w:r>
        <w:rPr>
          <w:rFonts w:hint="eastAsia" w:ascii="Times New Roman" w:hAnsi="Times New Roman" w:eastAsia="楷体" w:cs="宋体"/>
          <w:color w:val="000000"/>
          <w:sz w:val="21"/>
          <w:szCs w:val="24"/>
          <w14:ligatures w14:val="none"/>
        </w:rPr>
        <w:t xml:space="preserve"> contributed equally to this work.</w:t>
      </w:r>
      <w:r>
        <w:rPr>
          <w:rFonts w:ascii="Times New Roman" w:hAnsi="Times New Roman" w:eastAsia="等线" w:cs="Times New Roman"/>
          <w14:ligatures w14:val="none"/>
        </w:rPr>
        <w:br w:type="page"/>
      </w:r>
    </w:p>
    <w:p>
      <w:pPr>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2336800" cy="2599055"/>
            <wp:effectExtent l="0" t="0" r="6350" b="0"/>
            <wp:docPr id="3" name="图片 3" descr="C:\Users\dell\Desktop\keAi排版\6366 刘秀梵\To prod\To prod\Fig S1 7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keAi排版\6366 刘秀梵\To prod\To prod\Fig S1 7 c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36800" cy="2599055"/>
                    </a:xfrm>
                    <a:prstGeom prst="rect">
                      <a:avLst/>
                    </a:prstGeom>
                    <a:noFill/>
                    <a:ln>
                      <a:noFill/>
                    </a:ln>
                  </pic:spPr>
                </pic:pic>
              </a:graphicData>
            </a:graphic>
          </wp:inline>
        </w:drawing>
      </w:r>
    </w:p>
    <w:p>
      <w:pPr>
        <w:widowControl w:val="0"/>
        <w:spacing w:after="240" w:line="360" w:lineRule="auto"/>
        <w:jc w:val="both"/>
        <w:rPr>
          <w:rFonts w:ascii="Times New Roman" w:hAnsi="Times New Roman" w:eastAsia="宋体" w:cs="Times New Roman"/>
          <w:bCs/>
          <w:color w:val="000000"/>
          <w:kern w:val="0"/>
          <w14:ligatures w14:val="none"/>
        </w:rPr>
      </w:pPr>
      <w:r>
        <w:rPr>
          <w:rFonts w:ascii="Times New Roman" w:hAnsi="Times New Roman" w:eastAsia="宋体" w:cs="Times New Roman"/>
          <w:b/>
          <w:kern w:val="0"/>
          <w14:ligatures w14:val="none"/>
        </w:rPr>
        <w:t xml:space="preserve">Fig. S1. </w:t>
      </w:r>
      <w:r>
        <w:rPr>
          <w:rFonts w:ascii="Times New Roman" w:hAnsi="Times New Roman" w:eastAsia="宋体" w:cs="Times New Roman"/>
          <w:kern w:val="0"/>
          <w14:ligatures w14:val="none"/>
        </w:rPr>
        <w:t>Preparation of IP samples for MS analysis.</w:t>
      </w:r>
      <w:r>
        <w:rPr>
          <w:rFonts w:hint="eastAsia" w:ascii="Times New Roman" w:hAnsi="Times New Roman" w:eastAsia="宋体" w:cs="Times New Roman"/>
          <w:kern w:val="0"/>
          <w14:ligatures w14:val="none"/>
        </w:rPr>
        <w:t xml:space="preserve"> </w:t>
      </w:r>
      <w:r>
        <w:rPr>
          <w:rFonts w:ascii="Times New Roman" w:hAnsi="Times New Roman" w:eastAsia="宋体" w:cs="Times New Roman"/>
          <w:bCs/>
          <w:color w:val="000000"/>
          <w:kern w:val="0"/>
          <w14:ligatures w14:val="none"/>
        </w:rPr>
        <w:t>For preparation of the IP samples, a total of 3</w:t>
      </w:r>
      <w:r>
        <w:rPr>
          <w:rFonts w:hint="eastAsia" w:ascii="Times New Roman" w:hAnsi="Times New Roman" w:eastAsia="宋体" w:cs="Times New Roman"/>
          <w:b/>
          <w:bCs/>
          <w:kern w:val="0"/>
          <w14:ligatures w14:val="none"/>
        </w:rPr>
        <w:t xml:space="preserve"> </w:t>
      </w:r>
      <w:r>
        <w:rPr>
          <w:rFonts w:ascii="Times New Roman" w:hAnsi="Times New Roman" w:eastAsia="宋体" w:cs="Times New Roman"/>
          <w:b/>
          <w:bCs/>
          <w:kern w:val="0"/>
          <w14:ligatures w14:val="none"/>
        </w:rPr>
        <w:t>×</w:t>
      </w:r>
      <w:r>
        <w:rPr>
          <w:rFonts w:hint="eastAsia" w:ascii="Times New Roman" w:hAnsi="Times New Roman" w:eastAsia="宋体" w:cs="Times New Roman"/>
          <w:bCs/>
          <w:color w:val="000000"/>
          <w:kern w:val="0"/>
          <w14:ligatures w14:val="none"/>
        </w:rPr>
        <w:t xml:space="preserve"> </w:t>
      </w:r>
      <w:r>
        <w:rPr>
          <w:rFonts w:ascii="Times New Roman" w:hAnsi="Times New Roman" w:eastAsia="宋体" w:cs="Times New Roman"/>
          <w:bCs/>
          <w:color w:val="000000"/>
          <w:kern w:val="0"/>
          <w14:ligatures w14:val="none"/>
        </w:rPr>
        <w:t>10</w:t>
      </w:r>
      <w:r>
        <w:rPr>
          <w:rFonts w:ascii="Times New Roman" w:hAnsi="Times New Roman" w:eastAsia="宋体" w:cs="Times New Roman"/>
          <w:bCs/>
          <w:color w:val="000000"/>
          <w:kern w:val="0"/>
          <w:vertAlign w:val="superscript"/>
          <w14:ligatures w14:val="none"/>
        </w:rPr>
        <w:t>6</w:t>
      </w:r>
      <w:r>
        <w:rPr>
          <w:rFonts w:ascii="Times New Roman" w:hAnsi="Times New Roman" w:eastAsia="宋体" w:cs="Times New Roman"/>
          <w:bCs/>
          <w:color w:val="000000"/>
          <w:kern w:val="0"/>
          <w14:ligatures w14:val="none"/>
        </w:rPr>
        <w:t xml:space="preserve"> HEK 293T cells were transfected with 12 µg of pcDNA-PA plasmid. After 24 h, cells were infected with 2 MOI of the CK10 virus. After 8 h, cells were lysed in 700 μL RIPA lysis Buffer. More specifically, RIPA in the control (IgG group) and phosphorylation group (P+) contained cOmplete™ Mini protease inhibitor and phosphatase inhibitor PhosSTOP™, while RIPA in the dephosphorylation group (P-) only included the cOmplete™ Mini protease inhibitor. Bands circled with box were cut for further MS analysis. </w:t>
      </w:r>
    </w:p>
    <w:p>
      <w:pPr>
        <w:widowControl w:val="0"/>
        <w:spacing w:after="240" w:line="360" w:lineRule="auto"/>
        <w:jc w:val="both"/>
        <w:rPr>
          <w:rFonts w:ascii="Times New Roman" w:hAnsi="Times New Roman" w:eastAsia="宋体" w:cs="Times New Roman"/>
          <w:bCs/>
          <w:color w:val="000000"/>
          <w:kern w:val="0"/>
          <w14:ligatures w14:val="none"/>
        </w:rPr>
      </w:pPr>
    </w:p>
    <w:p>
      <w:pPr>
        <w:widowControl w:val="0"/>
        <w:spacing w:after="240" w:line="360" w:lineRule="auto"/>
        <w:jc w:val="both"/>
        <w:rPr>
          <w:rFonts w:ascii="Times New Roman" w:hAnsi="Times New Roman" w:eastAsia="宋体" w:cs="Times New Roman"/>
          <w:bCs/>
          <w:color w:val="000000"/>
          <w:kern w:val="0"/>
          <w14:ligatures w14:val="none"/>
        </w:rPr>
      </w:pPr>
      <w:r>
        <w:rPr>
          <w:rFonts w:ascii="Times New Roman" w:hAnsi="Times New Roman" w:eastAsia="宋体" w:cs="Times New Roman"/>
          <w:bCs/>
          <w:color w:val="000000"/>
          <w:kern w:val="0"/>
        </w:rPr>
        <w:drawing>
          <wp:inline distT="0" distB="0" distL="0" distR="0">
            <wp:extent cx="6119495" cy="6076950"/>
            <wp:effectExtent l="0" t="0" r="0" b="0"/>
            <wp:docPr id="5" name="图片 5" descr="C:\Users\dell\Desktop\keAi排版\6366 刘秀梵\To prod\To prod\Fig S2 17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esktop\keAi排版\6366 刘秀梵\To prod\To prod\Fig S2 17 c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20000" cy="6077230"/>
                    </a:xfrm>
                    <a:prstGeom prst="rect">
                      <a:avLst/>
                    </a:prstGeom>
                    <a:noFill/>
                    <a:ln>
                      <a:noFill/>
                    </a:ln>
                  </pic:spPr>
                </pic:pic>
              </a:graphicData>
            </a:graphic>
          </wp:inline>
        </w:drawing>
      </w:r>
    </w:p>
    <w:p>
      <w:pPr>
        <w:widowControl w:val="0"/>
        <w:autoSpaceDE w:val="0"/>
        <w:autoSpaceDN w:val="0"/>
        <w:adjustRightInd w:val="0"/>
        <w:spacing w:after="240" w:line="360" w:lineRule="auto"/>
        <w:jc w:val="both"/>
        <w:rPr>
          <w:rFonts w:ascii="Times New Roman" w:hAnsi="Times New Roman" w:eastAsia="宋体" w:cs="Times New Roman"/>
          <w:bCs/>
          <w:kern w:val="0"/>
          <w14:ligatures w14:val="none"/>
        </w:rPr>
      </w:pPr>
      <w:r>
        <w:rPr>
          <w:rFonts w:ascii="Times New Roman" w:hAnsi="Times New Roman" w:eastAsia="宋体" w:cs="Times New Roman"/>
          <w:b/>
          <w:kern w:val="0"/>
          <w14:ligatures w14:val="none"/>
        </w:rPr>
        <w:t xml:space="preserve">Fig. S2. </w:t>
      </w:r>
      <w:r>
        <w:rPr>
          <w:rFonts w:ascii="Times New Roman" w:hAnsi="Times New Roman" w:eastAsia="宋体" w:cs="Times New Roman"/>
          <w:bCs/>
          <w:kern w:val="0"/>
          <w14:ligatures w14:val="none"/>
        </w:rPr>
        <w:t xml:space="preserve">Influence of PB2-S181E/A and PB2-S187Q mimic mutation on PB1 and NP nuclear accumulation in MDCK cells. MDCK cells were infected with the indicated virus at an MOI of 2, cell cultures were then fixed and processed for immunofluorescence observation at indicated time points. Cell nuclei were stained with DAPI. </w:t>
      </w:r>
      <w:r>
        <w:rPr>
          <w:rFonts w:ascii="Times New Roman" w:hAnsi="Times New Roman" w:eastAsia="宋体" w:cs="Times New Roman"/>
          <w:b/>
          <w:bCs/>
          <w:kern w:val="0"/>
          <w14:ligatures w14:val="none"/>
        </w:rPr>
        <w:t>A</w:t>
      </w:r>
      <w:r>
        <w:rPr>
          <w:rFonts w:ascii="Times New Roman" w:hAnsi="Times New Roman" w:eastAsia="宋体" w:cs="Times New Roman"/>
          <w:bCs/>
          <w:kern w:val="0"/>
          <w14:ligatures w14:val="none"/>
        </w:rPr>
        <w:t xml:space="preserve"> At 4 h, 6 h and 9 h p.i., cells were fixed and processed for immunofluorescence observation. </w:t>
      </w:r>
      <w:r>
        <w:rPr>
          <w:rFonts w:ascii="Times New Roman" w:hAnsi="Times New Roman" w:eastAsia="宋体" w:cs="Times New Roman"/>
          <w:b/>
          <w:bCs/>
          <w:kern w:val="0"/>
          <w14:ligatures w14:val="none"/>
        </w:rPr>
        <w:t>B</w:t>
      </w:r>
      <w:r>
        <w:rPr>
          <w:rFonts w:ascii="Times New Roman" w:hAnsi="Times New Roman" w:eastAsia="宋体" w:cs="Times New Roman"/>
          <w:bCs/>
          <w:kern w:val="0"/>
          <w14:ligatures w14:val="none"/>
        </w:rPr>
        <w:t xml:space="preserve"> At 12 h p.i., cells were fixed and processed for immunofluorescence observation. </w:t>
      </w:r>
      <w:r>
        <w:rPr>
          <w:rFonts w:ascii="Times New Roman" w:hAnsi="Times New Roman" w:eastAsia="宋体" w:cs="Times New Roman"/>
          <w:b/>
          <w:bCs/>
          <w:kern w:val="0"/>
          <w14:ligatures w14:val="none"/>
        </w:rPr>
        <w:t>C</w:t>
      </w:r>
      <w:r>
        <w:rPr>
          <w:rFonts w:ascii="Times New Roman" w:hAnsi="Times New Roman" w:eastAsia="宋体" w:cs="Times New Roman"/>
          <w:bCs/>
          <w:kern w:val="0"/>
          <w14:ligatures w14:val="none"/>
        </w:rPr>
        <w:t xml:space="preserve"> At 4 h p.i., the PB1 nuclear accumulation in MDCK-infected cells was determined as the ratio of cells showing green fluorescence in the nucleus to the total number of cells counted (n = 200). </w:t>
      </w:r>
      <w:r>
        <w:rPr>
          <w:rFonts w:ascii="Times New Roman" w:hAnsi="Times New Roman" w:eastAsia="宋体" w:cs="Times New Roman"/>
          <w:b/>
          <w:bCs/>
          <w:kern w:val="0"/>
          <w14:ligatures w14:val="none"/>
        </w:rPr>
        <w:t>D</w:t>
      </w:r>
      <w:r>
        <w:rPr>
          <w:rFonts w:ascii="Times New Roman" w:hAnsi="Times New Roman" w:eastAsia="宋体" w:cs="Times New Roman"/>
          <w:bCs/>
          <w:kern w:val="0"/>
          <w14:ligatures w14:val="none"/>
        </w:rPr>
        <w:t xml:space="preserve"> At 4 h p.i., the NP nuclear accumulation in MDCK-infected cells was determined as the ratio of cells showing red fluorescence in the nucleus to the total number of cells counted (n = 200). Values shown are the means of the results of three independent experiments SDs. *, </w:t>
      </w:r>
      <w:r>
        <w:rPr>
          <w:rFonts w:ascii="Times New Roman" w:hAnsi="Times New Roman" w:eastAsia="宋体" w:cs="Times New Roman"/>
          <w:bCs/>
          <w:i/>
          <w:kern w:val="0"/>
          <w14:ligatures w14:val="none"/>
        </w:rPr>
        <w:t>P</w:t>
      </w:r>
      <w:r>
        <w:rPr>
          <w:rFonts w:ascii="Times New Roman" w:hAnsi="Times New Roman" w:eastAsia="宋体" w:cs="Times New Roman"/>
          <w:bCs/>
          <w:kern w:val="0"/>
          <w14:ligatures w14:val="none"/>
        </w:rPr>
        <w:t xml:space="preserve"> &lt; 0.05 compared with the result for rPB2-WT virus-infected cells.</w:t>
      </w:r>
    </w:p>
    <w:p>
      <w:pPr>
        <w:widowControl w:val="0"/>
        <w:autoSpaceDE w:val="0"/>
        <w:autoSpaceDN w:val="0"/>
        <w:adjustRightInd w:val="0"/>
        <w:spacing w:after="240" w:line="360" w:lineRule="auto"/>
        <w:jc w:val="both"/>
        <w:rPr>
          <w:rFonts w:ascii="Times New Roman" w:hAnsi="Times New Roman" w:eastAsia="宋体" w:cs="Times New Roman"/>
          <w:bCs/>
          <w:kern w:val="0"/>
          <w14:ligatures w14:val="none"/>
        </w:rPr>
      </w:pPr>
    </w:p>
    <w:p>
      <w:pPr>
        <w:widowControl w:val="0"/>
        <w:autoSpaceDE w:val="0"/>
        <w:autoSpaceDN w:val="0"/>
        <w:adjustRightInd w:val="0"/>
        <w:spacing w:after="240" w:line="360" w:lineRule="auto"/>
        <w:jc w:val="both"/>
        <w:rPr>
          <w:rFonts w:ascii="Times New Roman" w:hAnsi="Times New Roman" w:eastAsia="宋体" w:cs="Times New Roman"/>
          <w:bCs/>
          <w:kern w:val="0"/>
          <w14:ligatures w14:val="none"/>
        </w:rPr>
      </w:pPr>
      <w:r>
        <w:rPr>
          <w:rFonts w:ascii="Times New Roman" w:hAnsi="Times New Roman" w:eastAsia="宋体" w:cs="Times New Roman"/>
          <w:bCs/>
          <w:kern w:val="0"/>
        </w:rPr>
        <w:drawing>
          <wp:inline distT="0" distB="0" distL="0" distR="0">
            <wp:extent cx="6119495" cy="5178425"/>
            <wp:effectExtent l="0" t="0" r="0" b="3175"/>
            <wp:docPr id="6" name="图片 6" descr="C:\Users\dell\Desktop\keAi排版\6366 刘秀梵\To prod\To prod\Fig S3 17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Desktop\keAi排版\6366 刘秀梵\To prod\To prod\Fig S3 17 c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20000" cy="5178856"/>
                    </a:xfrm>
                    <a:prstGeom prst="rect">
                      <a:avLst/>
                    </a:prstGeom>
                    <a:noFill/>
                    <a:ln>
                      <a:noFill/>
                    </a:ln>
                  </pic:spPr>
                </pic:pic>
              </a:graphicData>
            </a:graphic>
          </wp:inline>
        </w:drawing>
      </w:r>
    </w:p>
    <w:p>
      <w:pPr>
        <w:spacing w:line="360" w:lineRule="auto"/>
        <w:jc w:val="both"/>
        <w:rPr>
          <w:rFonts w:ascii="Times New Roman" w:hAnsi="Times New Roman" w:cs="Times New Roman"/>
          <w:b/>
          <w:bCs/>
        </w:rPr>
      </w:pPr>
      <w:r>
        <w:rPr>
          <w:rFonts w:ascii="Times New Roman" w:hAnsi="Times New Roman" w:eastAsia="宋体" w:cs="Times New Roman"/>
          <w:b/>
          <w:kern w:val="0"/>
          <w14:ligatures w14:val="none"/>
        </w:rPr>
        <w:t xml:space="preserve">Fig. S3. </w:t>
      </w:r>
      <w:r>
        <w:rPr>
          <w:rFonts w:ascii="Times New Roman" w:hAnsi="Times New Roman" w:eastAsia="宋体" w:cs="Times New Roman"/>
          <w:bCs/>
          <w:kern w:val="0"/>
          <w14:ligatures w14:val="none"/>
        </w:rPr>
        <w:t xml:space="preserve">Influence of PB2-S181E/A and PB2-S187Q mimic mutation on PA and NP nuclear accumulation in MDCK cells. MDCK cells were infected with the indicated virus at an MOI of 2, cell cultures were then fixed and processed for immunofluorescence observation at indicated time points. Cell nuclei were stained with DAPI. </w:t>
      </w:r>
      <w:r>
        <w:rPr>
          <w:rFonts w:ascii="Times New Roman" w:hAnsi="Times New Roman" w:eastAsia="宋体" w:cs="Times New Roman"/>
          <w:b/>
          <w:bCs/>
          <w:kern w:val="0"/>
          <w14:ligatures w14:val="none"/>
        </w:rPr>
        <w:t>A</w:t>
      </w:r>
      <w:r>
        <w:rPr>
          <w:rFonts w:ascii="Times New Roman" w:hAnsi="Times New Roman" w:eastAsia="宋体" w:cs="Times New Roman"/>
          <w:bCs/>
          <w:kern w:val="0"/>
          <w14:ligatures w14:val="none"/>
        </w:rPr>
        <w:t xml:space="preserve"> At 4 h, 6 h and 9 h p.i., cells were fixed and processed for immunofluorescence observation. </w:t>
      </w:r>
      <w:r>
        <w:rPr>
          <w:rFonts w:ascii="Times New Roman" w:hAnsi="Times New Roman" w:eastAsia="宋体" w:cs="Times New Roman"/>
          <w:b/>
          <w:bCs/>
          <w:kern w:val="0"/>
          <w14:ligatures w14:val="none"/>
        </w:rPr>
        <w:t>B</w:t>
      </w:r>
      <w:r>
        <w:rPr>
          <w:rFonts w:ascii="Times New Roman" w:hAnsi="Times New Roman" w:eastAsia="宋体" w:cs="Times New Roman"/>
          <w:bCs/>
          <w:kern w:val="0"/>
          <w14:ligatures w14:val="none"/>
        </w:rPr>
        <w:t xml:space="preserve"> At 12 h p.i., cells were fixed and processed for immunofluorescence observation. </w:t>
      </w:r>
      <w:r>
        <w:rPr>
          <w:rFonts w:ascii="Times New Roman" w:hAnsi="Times New Roman" w:eastAsia="宋体" w:cs="Times New Roman"/>
          <w:b/>
          <w:bCs/>
          <w:kern w:val="0"/>
          <w14:ligatures w14:val="none"/>
        </w:rPr>
        <w:t>C</w:t>
      </w:r>
      <w:r>
        <w:rPr>
          <w:rFonts w:ascii="Times New Roman" w:hAnsi="Times New Roman" w:eastAsia="宋体" w:cs="Times New Roman"/>
          <w:bCs/>
          <w:kern w:val="0"/>
          <w14:ligatures w14:val="none"/>
        </w:rPr>
        <w:t xml:space="preserve"> At 4 h p.i., the PA nuclear accumulation in MDCK-infected cells was determined as the ratio of cells showing green fluorescence in the nucleus to the total number of cells counted (n = 200). </w:t>
      </w:r>
      <w:r>
        <w:rPr>
          <w:rFonts w:ascii="Times New Roman" w:hAnsi="Times New Roman" w:eastAsia="宋体" w:cs="Times New Roman"/>
          <w:b/>
          <w:bCs/>
          <w:kern w:val="0"/>
          <w14:ligatures w14:val="none"/>
        </w:rPr>
        <w:t>D</w:t>
      </w:r>
      <w:r>
        <w:rPr>
          <w:rFonts w:ascii="Times New Roman" w:hAnsi="Times New Roman" w:eastAsia="宋体" w:cs="Times New Roman"/>
          <w:bCs/>
          <w:kern w:val="0"/>
          <w14:ligatures w14:val="none"/>
        </w:rPr>
        <w:t xml:space="preserve"> At 4 h p.i., the NP nuclear accumulation in MDCK-infected cells was determined as the ratio of cells showing red fluorescence in the nucleus to the total number of cells counted (n = 200). Values shown are the means of the results of three independent experiments SDs. *, </w:t>
      </w:r>
      <w:r>
        <w:rPr>
          <w:rFonts w:ascii="Times New Roman" w:hAnsi="Times New Roman" w:eastAsia="宋体" w:cs="Times New Roman"/>
          <w:bCs/>
          <w:i/>
          <w:kern w:val="0"/>
          <w14:ligatures w14:val="none"/>
        </w:rPr>
        <w:t>P</w:t>
      </w:r>
      <w:r>
        <w:rPr>
          <w:rFonts w:ascii="Times New Roman" w:hAnsi="Times New Roman" w:eastAsia="宋体" w:cs="Times New Roman"/>
          <w:bCs/>
          <w:kern w:val="0"/>
          <w14:ligatures w14:val="none"/>
        </w:rPr>
        <w:t xml:space="preserve"> &lt; 0.05 compared with the result for rPB2-WT virus-infected cells.</w:t>
      </w:r>
    </w:p>
    <w:p>
      <w:pPr>
        <w:spacing w:line="360" w:lineRule="auto"/>
        <w:jc w:val="both"/>
        <w:rPr>
          <w:rFonts w:ascii="Times New Roman" w:hAnsi="Times New Roman" w:cs="Times New Roman"/>
          <w:bCs/>
          <w:sz w:val="24"/>
          <w:szCs w:val="24"/>
        </w:rPr>
      </w:pPr>
    </w:p>
    <w:p>
      <w:pPr>
        <w:spacing w:line="360" w:lineRule="auto"/>
        <w:ind w:firstLine="480"/>
        <w:jc w:val="both"/>
        <w:rPr>
          <w:rFonts w:ascii="Times New Roman" w:hAnsi="Times New Roman" w:eastAsia="宋体" w:cs="Times New Roman"/>
          <w:sz w:val="20"/>
          <w:szCs w:val="20"/>
          <w14:ligatures w14:val="none"/>
        </w:rPr>
      </w:pPr>
      <w:r>
        <w:rPr>
          <w:rFonts w:ascii="Times New Roman" w:hAnsi="Times New Roman" w:eastAsia="宋体" w:cs="Times New Roman"/>
          <w:sz w:val="20"/>
          <w:szCs w:val="20"/>
          <w:shd w:val="clear" w:color="auto" w:fill="FFFFFF"/>
          <w14:ligatures w14:val="none"/>
        </w:rPr>
        <w:t>Supplementary</w:t>
      </w:r>
      <w:r>
        <w:rPr>
          <w:rFonts w:hint="eastAsia" w:ascii="Times New Roman" w:hAnsi="Times New Roman" w:eastAsia="宋体" w:cs="Times New Roman"/>
          <w:sz w:val="20"/>
          <w:szCs w:val="20"/>
          <w:shd w:val="clear" w:color="auto" w:fill="FFFFFF"/>
          <w14:ligatures w14:val="none"/>
        </w:rPr>
        <w:t xml:space="preserve"> Table S1</w:t>
      </w:r>
      <w:r>
        <w:rPr>
          <w:rFonts w:ascii="Times New Roman" w:hAnsi="Times New Roman" w:eastAsia="宋体" w:cs="Times New Roman"/>
          <w:sz w:val="20"/>
          <w:szCs w:val="20"/>
          <w:shd w:val="clear" w:color="auto" w:fill="FFFFFF"/>
          <w14:ligatures w14:val="none"/>
        </w:rPr>
        <w:t xml:space="preserve"> Primers for point mutation for pHW2000-PB2 and pCDNA3.1-PB2 plasmids</w:t>
      </w:r>
      <w:r>
        <w:rPr>
          <w:rFonts w:hint="eastAsia" w:ascii="Times New Roman" w:hAnsi="Times New Roman" w:eastAsia="宋体" w:cs="Times New Roman"/>
          <w:sz w:val="20"/>
          <w:szCs w:val="20"/>
          <w:shd w:val="clear" w:color="auto" w:fill="FFFFFF"/>
          <w14:ligatures w14:val="none"/>
        </w:rPr>
        <w:t>.</w:t>
      </w:r>
    </w:p>
    <w:tbl>
      <w:tblPr>
        <w:tblStyle w:val="18"/>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7"/>
        <w:gridCol w:w="1477"/>
        <w:gridCol w:w="465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7" w:type="dxa"/>
            <w:tcBorders>
              <w:top w:val="single" w:color="auto" w:sz="8" w:space="0"/>
              <w:bottom w:val="single" w:color="auto" w:sz="4" w:space="0"/>
            </w:tcBorders>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Mutation</w:t>
            </w:r>
          </w:p>
        </w:tc>
        <w:tc>
          <w:tcPr>
            <w:tcW w:w="0" w:type="auto"/>
            <w:tcBorders>
              <w:top w:val="single" w:color="auto" w:sz="8" w:space="0"/>
              <w:bottom w:val="single" w:color="auto" w:sz="4" w:space="0"/>
            </w:tcBorders>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Primers</w:t>
            </w:r>
          </w:p>
        </w:tc>
        <w:tc>
          <w:tcPr>
            <w:tcW w:w="0" w:type="auto"/>
            <w:tcBorders>
              <w:top w:val="single" w:color="auto" w:sz="8" w:space="0"/>
              <w:bottom w:val="single" w:color="auto" w:sz="4" w:space="0"/>
            </w:tcBorders>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Sequence（5’→3’）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7" w:type="dxa"/>
            <w:vMerge w:val="restart"/>
            <w:tcBorders>
              <w:top w:val="single" w:color="auto" w:sz="4" w:space="0"/>
            </w:tcBorders>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PB2-S181A</w:t>
            </w:r>
          </w:p>
        </w:tc>
        <w:tc>
          <w:tcPr>
            <w:tcW w:w="0" w:type="auto"/>
            <w:tcBorders>
              <w:top w:val="single" w:color="auto" w:sz="4" w:space="0"/>
            </w:tcBorders>
            <w:vAlign w:val="center"/>
          </w:tcPr>
          <w:p>
            <w:pPr>
              <w:spacing w:after="0" w:line="360" w:lineRule="auto"/>
              <w:jc w:val="center"/>
              <w:rPr>
                <w:rFonts w:ascii="Times New Roman" w:hAnsi="Times New Roman" w:eastAsia="宋体" w:cs="Times New Roman"/>
                <w:color w:val="000000"/>
                <w:kern w:val="0"/>
                <w:sz w:val="21"/>
                <w:szCs w:val="20"/>
                <w14:ligatures w14:val="none"/>
              </w:rPr>
            </w:pPr>
            <w:bookmarkStart w:id="1" w:name="_Hlk77145720"/>
            <w:r>
              <w:rPr>
                <w:rFonts w:ascii="Times New Roman" w:hAnsi="Times New Roman" w:eastAsia="宋体" w:cs="Times New Roman"/>
                <w:color w:val="000000"/>
                <w:kern w:val="0"/>
                <w:sz w:val="21"/>
                <w:szCs w:val="20"/>
                <w14:ligatures w14:val="none"/>
              </w:rPr>
              <w:t>PB2-S181A-F</w:t>
            </w:r>
          </w:p>
        </w:tc>
        <w:tc>
          <w:tcPr>
            <w:tcW w:w="0" w:type="auto"/>
            <w:tcBorders>
              <w:top w:val="single" w:color="auto" w:sz="4" w:space="0"/>
            </w:tcBorders>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GAATACTGACTTCAGAGGCGCAGTTGAC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7" w:type="dxa"/>
            <w:vMerge w:val="continue"/>
            <w:vAlign w:val="center"/>
          </w:tcPr>
          <w:p>
            <w:pPr>
              <w:spacing w:after="0" w:line="360" w:lineRule="auto"/>
              <w:jc w:val="center"/>
              <w:rPr>
                <w:rFonts w:ascii="Times New Roman" w:hAnsi="Times New Roman" w:eastAsia="宋体" w:cs="Times New Roman"/>
                <w:color w:val="000000"/>
                <w:kern w:val="0"/>
                <w:sz w:val="21"/>
                <w:szCs w:val="20"/>
                <w14:ligatures w14:val="none"/>
              </w:rPr>
            </w:pPr>
          </w:p>
          <w:bookmarkEnd w:id="1"/>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PB2-S181A-R</w:t>
            </w: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CCTCTGAAGTCAGTATTCTAGCTCCCAC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7" w:type="dxa"/>
            <w:vMerge w:val="restart"/>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PB2-S181E</w:t>
            </w: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PB2-S181E-F</w:t>
            </w: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GAATACTGACTTCAGAGGAGCAGTTGACA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7" w:type="dxa"/>
            <w:vMerge w:val="continue"/>
            <w:vAlign w:val="center"/>
          </w:tcPr>
          <w:p>
            <w:pPr>
              <w:spacing w:after="0" w:line="360" w:lineRule="auto"/>
              <w:jc w:val="center"/>
              <w:rPr>
                <w:rFonts w:ascii="Times New Roman" w:hAnsi="Times New Roman" w:eastAsia="宋体" w:cs="Times New Roman"/>
                <w:color w:val="000000"/>
                <w:kern w:val="0"/>
                <w:sz w:val="21"/>
                <w:szCs w:val="20"/>
                <w14:ligatures w14:val="none"/>
              </w:rPr>
            </w:pP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PB2-S181E-R</w:t>
            </w: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bookmarkStart w:id="2" w:name="OLE_LINK15"/>
            <w:r>
              <w:rPr>
                <w:rFonts w:ascii="Times New Roman" w:hAnsi="Times New Roman" w:eastAsia="宋体" w:cs="Times New Roman"/>
                <w:color w:val="000000"/>
                <w:kern w:val="0"/>
                <w:sz w:val="21"/>
                <w:szCs w:val="20"/>
                <w14:ligatures w14:val="none"/>
              </w:rPr>
              <w:t>TCCTCTGAAGTCAGTATTCTAGCTCCCAC</w:t>
            </w:r>
            <w:bookmarkEnd w:id="2"/>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7" w:type="dxa"/>
            <w:vMerge w:val="restart"/>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PB2-K187R</w:t>
            </w: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PB2-K187R-F</w:t>
            </w: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CGCAGTTGACAATAACGAGAGAGAAGAAAG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7" w:type="dxa"/>
            <w:vMerge w:val="continue"/>
            <w:vAlign w:val="center"/>
          </w:tcPr>
          <w:p>
            <w:pPr>
              <w:spacing w:after="0" w:line="360" w:lineRule="auto"/>
              <w:jc w:val="center"/>
              <w:rPr>
                <w:rFonts w:ascii="Times New Roman" w:hAnsi="Times New Roman" w:eastAsia="宋体" w:cs="Times New Roman"/>
                <w:color w:val="000000"/>
                <w:kern w:val="0"/>
                <w:sz w:val="21"/>
                <w:szCs w:val="20"/>
                <w14:ligatures w14:val="none"/>
              </w:rPr>
            </w:pP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PB2-K187R-R</w:t>
            </w: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CTCGTTATTGTCAACTGCGACTCTGAAG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7" w:type="dxa"/>
            <w:vMerge w:val="restart"/>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PB2-K187Q</w:t>
            </w: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PB2-K187Q-F</w:t>
            </w:r>
          </w:p>
        </w:tc>
        <w:tc>
          <w:tcPr>
            <w:tcW w:w="0" w:type="auto"/>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CGCAGTTGACAATAACGCAAGAGAAGAAAG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357" w:type="dxa"/>
            <w:vMerge w:val="continue"/>
            <w:tcBorders>
              <w:bottom w:val="single" w:color="auto" w:sz="8" w:space="0"/>
            </w:tcBorders>
          </w:tcPr>
          <w:p>
            <w:pPr>
              <w:spacing w:after="0" w:line="360" w:lineRule="auto"/>
              <w:jc w:val="center"/>
              <w:rPr>
                <w:rFonts w:ascii="Times New Roman" w:hAnsi="Times New Roman" w:eastAsia="宋体" w:cs="Times New Roman"/>
                <w:color w:val="000000"/>
                <w:kern w:val="0"/>
                <w:sz w:val="21"/>
                <w:szCs w:val="20"/>
                <w14:ligatures w14:val="none"/>
              </w:rPr>
            </w:pPr>
          </w:p>
        </w:tc>
        <w:tc>
          <w:tcPr>
            <w:tcW w:w="0" w:type="auto"/>
            <w:tcBorders>
              <w:bottom w:val="single" w:color="auto" w:sz="8" w:space="0"/>
            </w:tcBorders>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PB2-K187Q-R</w:t>
            </w:r>
          </w:p>
        </w:tc>
        <w:tc>
          <w:tcPr>
            <w:tcW w:w="0" w:type="auto"/>
            <w:tcBorders>
              <w:bottom w:val="single" w:color="auto" w:sz="8" w:space="0"/>
            </w:tcBorders>
            <w:vAlign w:val="center"/>
          </w:tcPr>
          <w:p>
            <w:pPr>
              <w:spacing w:after="0" w:line="360" w:lineRule="auto"/>
              <w:jc w:val="center"/>
              <w:rPr>
                <w:rFonts w:ascii="Times New Roman" w:hAnsi="Times New Roman" w:eastAsia="宋体" w:cs="Times New Roman"/>
                <w:color w:val="000000"/>
                <w:kern w:val="0"/>
                <w:sz w:val="21"/>
                <w:szCs w:val="20"/>
                <w14:ligatures w14:val="none"/>
              </w:rPr>
            </w:pPr>
            <w:r>
              <w:rPr>
                <w:rFonts w:ascii="Times New Roman" w:hAnsi="Times New Roman" w:eastAsia="宋体" w:cs="Times New Roman"/>
                <w:color w:val="000000"/>
                <w:kern w:val="0"/>
                <w:sz w:val="21"/>
                <w:szCs w:val="20"/>
                <w14:ligatures w14:val="none"/>
              </w:rPr>
              <w:t>GCGTTATTGTCAACTGCGACTCTGAAG</w:t>
            </w:r>
          </w:p>
        </w:tc>
      </w:tr>
    </w:tbl>
    <w:p>
      <w:pPr>
        <w:widowControl w:val="0"/>
        <w:spacing w:after="0" w:line="240" w:lineRule="auto"/>
        <w:jc w:val="both"/>
        <w:rPr>
          <w:rFonts w:ascii="Times New Roman" w:hAnsi="Times New Roman" w:eastAsia="等线" w:cs="Times New Roman"/>
          <w:sz w:val="20"/>
          <w:szCs w:val="20"/>
          <w14:ligatures w14:val="none"/>
        </w:rPr>
      </w:pPr>
    </w:p>
    <w:p>
      <w:pPr>
        <w:spacing w:line="360" w:lineRule="auto"/>
        <w:jc w:val="both"/>
        <w:rPr>
          <w:rFonts w:ascii="Times New Roman" w:hAnsi="Times New Roman" w:cs="Times New Roman"/>
          <w:bCs/>
          <w:sz w:val="24"/>
          <w:szCs w:val="24"/>
        </w:rPr>
      </w:pPr>
    </w:p>
    <w:p>
      <w:pPr>
        <w:widowControl w:val="0"/>
        <w:spacing w:after="0" w:line="276" w:lineRule="auto"/>
        <w:ind w:firstLine="200" w:firstLineChars="100"/>
        <w:jc w:val="center"/>
        <w:rPr>
          <w:rFonts w:ascii="Times New Roman" w:hAnsi="Times New Roman" w:eastAsia="宋体" w:cs="Times New Roman"/>
          <w:sz w:val="20"/>
          <w:szCs w:val="20"/>
          <w14:ligatures w14:val="none"/>
        </w:rPr>
      </w:pPr>
      <w:r>
        <w:rPr>
          <w:rFonts w:hint="eastAsia" w:ascii="Times New Roman" w:hAnsi="Times New Roman" w:eastAsia="宋体" w:cs="Times New Roman"/>
          <w:sz w:val="20"/>
          <w:szCs w:val="20"/>
          <w14:ligatures w14:val="none"/>
        </w:rPr>
        <w:t xml:space="preserve">Supplementary </w:t>
      </w:r>
      <w:r>
        <w:rPr>
          <w:rFonts w:ascii="Times New Roman" w:hAnsi="Times New Roman" w:eastAsia="宋体" w:cs="Times New Roman"/>
          <w:sz w:val="20"/>
          <w:szCs w:val="20"/>
          <w14:ligatures w14:val="none"/>
        </w:rPr>
        <w:t>Table S2 qRT-PCR primers for determination of cytokines expression in mouse lung</w:t>
      </w:r>
      <w:r>
        <w:rPr>
          <w:rFonts w:hint="eastAsia" w:ascii="Times New Roman" w:hAnsi="Times New Roman" w:eastAsia="宋体" w:cs="Times New Roman"/>
          <w:sz w:val="20"/>
          <w:szCs w:val="20"/>
          <w14:ligatures w14:val="none"/>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8"/>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Borders>
              <w:top w:val="single" w:color="auto" w:sz="8" w:space="0"/>
              <w:left w:val="nil"/>
              <w:bottom w:val="single" w:color="auto" w:sz="4" w:space="0"/>
              <w:right w:val="nil"/>
            </w:tcBorders>
          </w:tcPr>
          <w:p>
            <w:pPr>
              <w:widowControl w:val="0"/>
              <w:spacing w:after="0" w:line="312" w:lineRule="auto"/>
              <w:jc w:val="center"/>
              <w:rPr>
                <w:rFonts w:ascii="Times New Roman" w:hAnsi="Times New Roman" w:eastAsia="宋体" w:cs="Times New Roman"/>
                <w:kern w:val="0"/>
                <w:sz w:val="21"/>
                <w:szCs w:val="20"/>
                <w14:ligatures w14:val="none"/>
              </w:rPr>
            </w:pPr>
            <w:bookmarkStart w:id="3" w:name="_Hlk101628669"/>
            <w:r>
              <w:rPr>
                <w:rFonts w:ascii="Times New Roman" w:hAnsi="Times New Roman" w:eastAsia="宋体" w:cs="Times New Roman"/>
                <w:kern w:val="0"/>
                <w:sz w:val="21"/>
                <w:szCs w:val="20"/>
                <w14:ligatures w14:val="none"/>
              </w:rPr>
              <w:t>Gene</w:t>
            </w:r>
          </w:p>
        </w:tc>
        <w:tc>
          <w:tcPr>
            <w:tcW w:w="1418" w:type="dxa"/>
            <w:tcBorders>
              <w:top w:val="single" w:color="auto" w:sz="8" w:space="0"/>
              <w:left w:val="nil"/>
              <w:bottom w:val="single" w:color="auto" w:sz="4" w:space="0"/>
              <w:right w:val="nil"/>
            </w:tcBorders>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Primers</w:t>
            </w:r>
          </w:p>
        </w:tc>
        <w:tc>
          <w:tcPr>
            <w:tcW w:w="4678" w:type="dxa"/>
            <w:tcBorders>
              <w:top w:val="single" w:color="auto" w:sz="8" w:space="0"/>
              <w:left w:val="nil"/>
              <w:bottom w:val="single" w:color="auto" w:sz="4" w:space="0"/>
              <w:right w:val="nil"/>
            </w:tcBorders>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Sequence（5’-3’）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restart"/>
            <w:tcBorders>
              <w:top w:val="single" w:color="auto" w:sz="4" w:space="0"/>
            </w:tcBorders>
            <w:vAlign w:val="center"/>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β-actin</w:t>
            </w:r>
          </w:p>
        </w:tc>
        <w:tc>
          <w:tcPr>
            <w:tcW w:w="1418" w:type="dxa"/>
            <w:tcBorders>
              <w:top w:val="single" w:color="auto" w:sz="4" w:space="0"/>
            </w:tcBorders>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β-actin-F</w:t>
            </w:r>
          </w:p>
        </w:tc>
        <w:tc>
          <w:tcPr>
            <w:tcW w:w="4678" w:type="dxa"/>
            <w:tcBorders>
              <w:top w:val="single" w:color="auto" w:sz="4" w:space="0"/>
            </w:tcBorders>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CATCCGTAAAGACCTCTATGCCAAC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continue"/>
            <w:vAlign w:val="center"/>
          </w:tcPr>
          <w:p>
            <w:pPr>
              <w:widowControl w:val="0"/>
              <w:spacing w:after="0" w:line="312" w:lineRule="auto"/>
              <w:jc w:val="center"/>
              <w:rPr>
                <w:rFonts w:ascii="Times New Roman" w:hAnsi="Times New Roman" w:eastAsia="宋体" w:cs="Times New Roman"/>
                <w:kern w:val="0"/>
                <w:sz w:val="21"/>
                <w:szCs w:val="20"/>
                <w14:ligatures w14:val="none"/>
              </w:rPr>
            </w:pP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β-actin-R</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ATGGAGCCACCGATCCACA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restart"/>
            <w:vAlign w:val="center"/>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IP-10</w:t>
            </w: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IP-10-F</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CCAAGTGCTGCCGTCATTTTC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continue"/>
            <w:vAlign w:val="center"/>
          </w:tcPr>
          <w:p>
            <w:pPr>
              <w:widowControl w:val="0"/>
              <w:spacing w:after="0" w:line="312" w:lineRule="auto"/>
              <w:jc w:val="center"/>
              <w:rPr>
                <w:rFonts w:ascii="Times New Roman" w:hAnsi="Times New Roman" w:eastAsia="宋体" w:cs="Times New Roman"/>
                <w:kern w:val="0"/>
                <w:sz w:val="21"/>
                <w:szCs w:val="20"/>
                <w14:ligatures w14:val="none"/>
              </w:rPr>
            </w:pP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IP-10-R</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GGCTCGCAGGGATGATTTCAA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restart"/>
            <w:vAlign w:val="center"/>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IL-6</w:t>
            </w: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IL-6-F</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TGAGATCTACTCGGCAAACCTAGTG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continue"/>
            <w:vAlign w:val="center"/>
          </w:tcPr>
          <w:p>
            <w:pPr>
              <w:widowControl w:val="0"/>
              <w:spacing w:after="0" w:line="312" w:lineRule="auto"/>
              <w:jc w:val="center"/>
              <w:rPr>
                <w:rFonts w:ascii="Times New Roman" w:hAnsi="Times New Roman" w:eastAsia="宋体" w:cs="Times New Roman"/>
                <w:kern w:val="0"/>
                <w:sz w:val="21"/>
                <w:szCs w:val="20"/>
                <w14:ligatures w14:val="none"/>
              </w:rPr>
            </w:pP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IL-6-R</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CTTCGTAGAGAACAACATAAGTCAGATACC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restart"/>
            <w:vAlign w:val="center"/>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TNF-α</w:t>
            </w: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TNF-α-F</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GACTAGCCAGGAGGGAGAACAGA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continue"/>
            <w:vAlign w:val="center"/>
          </w:tcPr>
          <w:p>
            <w:pPr>
              <w:widowControl w:val="0"/>
              <w:spacing w:after="0" w:line="312" w:lineRule="auto"/>
              <w:jc w:val="center"/>
              <w:rPr>
                <w:rFonts w:ascii="Times New Roman" w:hAnsi="Times New Roman" w:eastAsia="宋体" w:cs="Times New Roman"/>
                <w:kern w:val="0"/>
                <w:sz w:val="21"/>
                <w:szCs w:val="20"/>
                <w14:ligatures w14:val="none"/>
              </w:rPr>
            </w:pP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TNF-α-R</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CCTGGTTGGCTGCTTGCTT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restart"/>
            <w:vAlign w:val="center"/>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IFN-γ</w:t>
            </w: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IFN-γ-F</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AAGCGTCATTGAATCACACC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continue"/>
            <w:vAlign w:val="center"/>
          </w:tcPr>
          <w:p>
            <w:pPr>
              <w:widowControl w:val="0"/>
              <w:spacing w:after="0" w:line="312" w:lineRule="auto"/>
              <w:jc w:val="center"/>
              <w:rPr>
                <w:rFonts w:ascii="Times New Roman" w:hAnsi="Times New Roman" w:eastAsia="宋体" w:cs="Times New Roman"/>
                <w:kern w:val="0"/>
                <w:sz w:val="21"/>
                <w:szCs w:val="20"/>
                <w14:ligatures w14:val="none"/>
              </w:rPr>
            </w:pP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IFN-γ-R</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CGAATCAGCAGCGACTCCTT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restart"/>
            <w:vAlign w:val="center"/>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IL-2</w:t>
            </w: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IL-2-F</w:t>
            </w:r>
          </w:p>
        </w:tc>
        <w:tc>
          <w:tcPr>
            <w:tcW w:w="4678" w:type="dxa"/>
            <w:shd w:val="clear" w:color="auto" w:fill="auto"/>
            <w:vAlign w:val="center"/>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TTCAATTGGAAGATGCTGAGA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continue"/>
            <w:vAlign w:val="bottom"/>
          </w:tcPr>
          <w:p>
            <w:pPr>
              <w:widowControl w:val="0"/>
              <w:spacing w:after="0" w:line="312" w:lineRule="auto"/>
              <w:jc w:val="center"/>
              <w:rPr>
                <w:rFonts w:ascii="Times New Roman" w:hAnsi="Times New Roman" w:eastAsia="宋体" w:cs="Times New Roman"/>
                <w:kern w:val="0"/>
                <w:sz w:val="21"/>
                <w:szCs w:val="20"/>
                <w14:ligatures w14:val="none"/>
              </w:rPr>
            </w:pP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IL-2-R</w:t>
            </w:r>
          </w:p>
        </w:tc>
        <w:tc>
          <w:tcPr>
            <w:tcW w:w="4678" w:type="dxa"/>
            <w:tcBorders>
              <w:top w:val="nil"/>
            </w:tcBorders>
            <w:shd w:val="clear" w:color="auto" w:fill="auto"/>
            <w:vAlign w:val="center"/>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ATCATCGAATTGGCACTCAA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restart"/>
            <w:vAlign w:val="center"/>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IL-1β</w:t>
            </w:r>
          </w:p>
        </w:tc>
        <w:tc>
          <w:tcPr>
            <w:tcW w:w="141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IL-1β-F</w:t>
            </w:r>
          </w:p>
        </w:tc>
        <w:tc>
          <w:tcPr>
            <w:tcW w:w="4678" w:type="dxa"/>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GCCTTGGGCCTCAAAGGAAAGAATC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7" w:type="dxa"/>
            <w:vMerge w:val="continue"/>
            <w:tcBorders>
              <w:bottom w:val="single" w:color="auto" w:sz="8" w:space="0"/>
            </w:tcBorders>
            <w:vAlign w:val="bottom"/>
          </w:tcPr>
          <w:p>
            <w:pPr>
              <w:widowControl w:val="0"/>
              <w:spacing w:after="0" w:line="312" w:lineRule="auto"/>
              <w:jc w:val="center"/>
              <w:rPr>
                <w:rFonts w:ascii="Times New Roman" w:hAnsi="Times New Roman" w:eastAsia="宋体" w:cs="Times New Roman"/>
                <w:kern w:val="0"/>
                <w:sz w:val="21"/>
                <w:szCs w:val="20"/>
                <w14:ligatures w14:val="none"/>
              </w:rPr>
            </w:pPr>
          </w:p>
        </w:tc>
        <w:tc>
          <w:tcPr>
            <w:tcW w:w="1418" w:type="dxa"/>
            <w:tcBorders>
              <w:bottom w:val="single" w:color="auto" w:sz="8" w:space="0"/>
            </w:tcBorders>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IL-1β-R</w:t>
            </w:r>
          </w:p>
        </w:tc>
        <w:tc>
          <w:tcPr>
            <w:tcW w:w="4678" w:type="dxa"/>
            <w:tcBorders>
              <w:bottom w:val="single" w:color="auto" w:sz="8" w:space="0"/>
            </w:tcBorders>
            <w:shd w:val="clear" w:color="auto" w:fill="auto"/>
            <w:vAlign w:val="bottom"/>
          </w:tcPr>
          <w:p>
            <w:pPr>
              <w:widowControl w:val="0"/>
              <w:spacing w:after="0" w:line="312" w:lineRule="auto"/>
              <w:jc w:val="center"/>
              <w:rPr>
                <w:rFonts w:ascii="Times New Roman" w:hAnsi="Times New Roman" w:eastAsia="宋体" w:cs="Times New Roman"/>
                <w:kern w:val="0"/>
                <w:sz w:val="21"/>
                <w:szCs w:val="20"/>
                <w14:ligatures w14:val="none"/>
              </w:rPr>
            </w:pPr>
            <w:r>
              <w:rPr>
                <w:rFonts w:ascii="Times New Roman" w:hAnsi="Times New Roman" w:eastAsia="宋体" w:cs="Times New Roman"/>
                <w:kern w:val="0"/>
                <w:sz w:val="21"/>
                <w:szCs w:val="20"/>
                <w14:ligatures w14:val="none"/>
              </w:rPr>
              <w:t>GGAAGACACAGATTCCATGGTGAAG</w:t>
            </w:r>
          </w:p>
        </w:tc>
      </w:tr>
      <w:bookmarkEnd w:id="3"/>
    </w:tbl>
    <w:p>
      <w:pPr>
        <w:widowControl w:val="0"/>
        <w:spacing w:after="0" w:line="240" w:lineRule="auto"/>
        <w:jc w:val="center"/>
        <w:rPr>
          <w:rFonts w:ascii="Times New Roman" w:hAnsi="Times New Roman" w:eastAsia="等线" w:cs="Times New Roman"/>
          <w:sz w:val="20"/>
          <w:szCs w:val="20"/>
          <w14:ligatures w14:val="none"/>
        </w:rPr>
      </w:pPr>
    </w:p>
    <w:p>
      <w:pPr>
        <w:spacing w:line="360" w:lineRule="auto"/>
        <w:jc w:val="both"/>
        <w:rPr>
          <w:rFonts w:ascii="Times New Roman" w:hAnsi="Times New Roman" w:cs="Times New Roman"/>
          <w:bCs/>
          <w:sz w:val="24"/>
          <w:szCs w:val="24"/>
        </w:rPr>
      </w:pPr>
    </w:p>
    <w:p>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end"/>
      </w:r>
    </w:p>
    <w:sectPr>
      <w:footerReference r:id="rId5" w:type="default"/>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Whitney-Semibold">
    <w:altName w:val="微软雅黑"/>
    <w:panose1 w:val="00000000000000000000"/>
    <w:charset w:val="86"/>
    <w:family w:val="swiss"/>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578890"/>
      <w:docPartObj>
        <w:docPartGallery w:val="AutoText"/>
      </w:docPartObj>
    </w:sdtPr>
    <w:sdtContent>
      <w:p>
        <w:pPr>
          <w:pStyle w:val="3"/>
          <w:jc w:val="center"/>
        </w:pPr>
        <w:r>
          <w:fldChar w:fldCharType="begin"/>
        </w:r>
        <w:r>
          <w:instrText xml:space="preserve">PAGE   \* MERGEFORMAT</w:instrText>
        </w:r>
        <w:r>
          <w:fldChar w:fldCharType="separate"/>
        </w:r>
        <w:r>
          <w:rPr>
            <w:lang w:val="zh-CN"/>
          </w:rPr>
          <w:t>4</w:t>
        </w:r>
        <w:r>
          <w:fldChar w:fldCharType="end"/>
        </w:r>
      </w:p>
    </w:sdtContent>
  </w:sdt>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in Neuroend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74CBC"/>
    <w:rsid w:val="000076A1"/>
    <w:rsid w:val="00014466"/>
    <w:rsid w:val="00035224"/>
    <w:rsid w:val="0006589F"/>
    <w:rsid w:val="00065D21"/>
    <w:rsid w:val="000B7EC5"/>
    <w:rsid w:val="000C0A6D"/>
    <w:rsid w:val="000D09FB"/>
    <w:rsid w:val="000D2A9B"/>
    <w:rsid w:val="000E54A7"/>
    <w:rsid w:val="00115DE9"/>
    <w:rsid w:val="00120A70"/>
    <w:rsid w:val="001229CE"/>
    <w:rsid w:val="00123255"/>
    <w:rsid w:val="00130EBC"/>
    <w:rsid w:val="0015123C"/>
    <w:rsid w:val="001718EC"/>
    <w:rsid w:val="001753D9"/>
    <w:rsid w:val="00177BB7"/>
    <w:rsid w:val="00194583"/>
    <w:rsid w:val="001A16AC"/>
    <w:rsid w:val="001A2D2D"/>
    <w:rsid w:val="001C5428"/>
    <w:rsid w:val="00205D9B"/>
    <w:rsid w:val="0022454B"/>
    <w:rsid w:val="0022561D"/>
    <w:rsid w:val="002358F0"/>
    <w:rsid w:val="00236ABA"/>
    <w:rsid w:val="00251B92"/>
    <w:rsid w:val="00262EBB"/>
    <w:rsid w:val="002636C1"/>
    <w:rsid w:val="0026602C"/>
    <w:rsid w:val="002D0B77"/>
    <w:rsid w:val="002D52EC"/>
    <w:rsid w:val="002F34A5"/>
    <w:rsid w:val="003145EC"/>
    <w:rsid w:val="00326427"/>
    <w:rsid w:val="00330D22"/>
    <w:rsid w:val="0034758E"/>
    <w:rsid w:val="0037011A"/>
    <w:rsid w:val="003A29D2"/>
    <w:rsid w:val="003C6101"/>
    <w:rsid w:val="003E59C6"/>
    <w:rsid w:val="003F0236"/>
    <w:rsid w:val="003F0403"/>
    <w:rsid w:val="00404B8F"/>
    <w:rsid w:val="004255D4"/>
    <w:rsid w:val="004277C7"/>
    <w:rsid w:val="00477413"/>
    <w:rsid w:val="004815F4"/>
    <w:rsid w:val="004A5475"/>
    <w:rsid w:val="004A5583"/>
    <w:rsid w:val="004E02C4"/>
    <w:rsid w:val="00550048"/>
    <w:rsid w:val="00574FED"/>
    <w:rsid w:val="005A6A72"/>
    <w:rsid w:val="005E591A"/>
    <w:rsid w:val="00621573"/>
    <w:rsid w:val="006248B2"/>
    <w:rsid w:val="006513ED"/>
    <w:rsid w:val="00661B8B"/>
    <w:rsid w:val="00677122"/>
    <w:rsid w:val="00695D93"/>
    <w:rsid w:val="006A2743"/>
    <w:rsid w:val="00734D79"/>
    <w:rsid w:val="00750993"/>
    <w:rsid w:val="007710C8"/>
    <w:rsid w:val="0079155E"/>
    <w:rsid w:val="00796CA8"/>
    <w:rsid w:val="00796DEE"/>
    <w:rsid w:val="007A3D05"/>
    <w:rsid w:val="007A4F38"/>
    <w:rsid w:val="007A505A"/>
    <w:rsid w:val="007B100D"/>
    <w:rsid w:val="007B2CFF"/>
    <w:rsid w:val="007D51A6"/>
    <w:rsid w:val="007E2032"/>
    <w:rsid w:val="00835C62"/>
    <w:rsid w:val="0084187D"/>
    <w:rsid w:val="00842A9F"/>
    <w:rsid w:val="008810B3"/>
    <w:rsid w:val="00882CE8"/>
    <w:rsid w:val="00891F12"/>
    <w:rsid w:val="00897F35"/>
    <w:rsid w:val="008A2A89"/>
    <w:rsid w:val="008A7D62"/>
    <w:rsid w:val="008B679A"/>
    <w:rsid w:val="008C66B9"/>
    <w:rsid w:val="008E0AA6"/>
    <w:rsid w:val="00912993"/>
    <w:rsid w:val="009200B0"/>
    <w:rsid w:val="009363D8"/>
    <w:rsid w:val="009512F7"/>
    <w:rsid w:val="00954458"/>
    <w:rsid w:val="009644F4"/>
    <w:rsid w:val="00985B9E"/>
    <w:rsid w:val="009A22B0"/>
    <w:rsid w:val="009D4775"/>
    <w:rsid w:val="009D664C"/>
    <w:rsid w:val="009F64B6"/>
    <w:rsid w:val="00A03CDE"/>
    <w:rsid w:val="00A133BC"/>
    <w:rsid w:val="00A36986"/>
    <w:rsid w:val="00A518B3"/>
    <w:rsid w:val="00A7261F"/>
    <w:rsid w:val="00A77670"/>
    <w:rsid w:val="00A97C5D"/>
    <w:rsid w:val="00AB4C94"/>
    <w:rsid w:val="00AC0A19"/>
    <w:rsid w:val="00AF2CC7"/>
    <w:rsid w:val="00B05035"/>
    <w:rsid w:val="00B47103"/>
    <w:rsid w:val="00B6775A"/>
    <w:rsid w:val="00B83C53"/>
    <w:rsid w:val="00B93AD7"/>
    <w:rsid w:val="00BA6526"/>
    <w:rsid w:val="00BD50D1"/>
    <w:rsid w:val="00BE6A15"/>
    <w:rsid w:val="00BF72BC"/>
    <w:rsid w:val="00C1436F"/>
    <w:rsid w:val="00C25492"/>
    <w:rsid w:val="00C35A5C"/>
    <w:rsid w:val="00C418E8"/>
    <w:rsid w:val="00C605CA"/>
    <w:rsid w:val="00C62BAA"/>
    <w:rsid w:val="00CA70DA"/>
    <w:rsid w:val="00CC5BB0"/>
    <w:rsid w:val="00D17FBF"/>
    <w:rsid w:val="00D33458"/>
    <w:rsid w:val="00D33BF8"/>
    <w:rsid w:val="00D45836"/>
    <w:rsid w:val="00DB0EBE"/>
    <w:rsid w:val="00DE2F28"/>
    <w:rsid w:val="00DE585B"/>
    <w:rsid w:val="00DF2FDA"/>
    <w:rsid w:val="00E00EF0"/>
    <w:rsid w:val="00E70673"/>
    <w:rsid w:val="00F02B92"/>
    <w:rsid w:val="00F34561"/>
    <w:rsid w:val="00F704B9"/>
    <w:rsid w:val="00F74CBC"/>
    <w:rsid w:val="00F8652E"/>
    <w:rsid w:val="00FB0DA6"/>
    <w:rsid w:val="00FB554A"/>
    <w:rsid w:val="00FD026D"/>
    <w:rsid w:val="00FD4AE2"/>
    <w:rsid w:val="00FE5A55"/>
    <w:rsid w:val="00FE74C2"/>
    <w:rsid w:val="29373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kern w:val="2"/>
      <w:sz w:val="22"/>
      <w:szCs w:val="22"/>
      <w:lang w:val="en-US" w:eastAsia="zh-CN" w:bidi="ar-SA"/>
      <w14:ligatures w14:val="standardContextual"/>
    </w:rPr>
  </w:style>
  <w:style w:type="character" w:default="1" w:styleId="7">
    <w:name w:val="Default Paragraph Font"/>
    <w:autoRedefine/>
    <w:semiHidden/>
    <w:unhideWhenUsed/>
    <w:qFormat/>
    <w:uiPriority w:val="1"/>
  </w:style>
  <w:style w:type="table" w:default="1" w:styleId="5">
    <w:name w:val="Normal Table"/>
    <w:autoRedefine/>
    <w:semiHidden/>
    <w:unhideWhenUsed/>
    <w:uiPriority w:val="99"/>
    <w:tblPr>
      <w:tblCellMar>
        <w:top w:w="0" w:type="dxa"/>
        <w:left w:w="108" w:type="dxa"/>
        <w:bottom w:w="0" w:type="dxa"/>
        <w:right w:w="108" w:type="dxa"/>
      </w:tblCellMar>
    </w:tblPr>
  </w:style>
  <w:style w:type="paragraph" w:styleId="2">
    <w:name w:val="Balloon Text"/>
    <w:basedOn w:val="1"/>
    <w:link w:val="17"/>
    <w:autoRedefine/>
    <w:semiHidden/>
    <w:unhideWhenUsed/>
    <w:uiPriority w:val="99"/>
    <w:pPr>
      <w:spacing w:after="0" w:line="240" w:lineRule="auto"/>
    </w:pPr>
    <w:rPr>
      <w:sz w:val="18"/>
      <w:szCs w:val="18"/>
    </w:rPr>
  </w:style>
  <w:style w:type="paragraph" w:styleId="3">
    <w:name w:val="footer"/>
    <w:basedOn w:val="1"/>
    <w:link w:val="11"/>
    <w:unhideWhenUsed/>
    <w:qFormat/>
    <w:uiPriority w:val="99"/>
    <w:pPr>
      <w:tabs>
        <w:tab w:val="center" w:pos="4513"/>
        <w:tab w:val="right" w:pos="9026"/>
      </w:tabs>
      <w:spacing w:after="0" w:line="240" w:lineRule="auto"/>
    </w:pPr>
  </w:style>
  <w:style w:type="paragraph" w:styleId="4">
    <w:name w:val="header"/>
    <w:basedOn w:val="1"/>
    <w:link w:val="10"/>
    <w:autoRedefine/>
    <w:unhideWhenUsed/>
    <w:uiPriority w:val="99"/>
    <w:pPr>
      <w:tabs>
        <w:tab w:val="center" w:pos="4513"/>
        <w:tab w:val="right" w:pos="9026"/>
      </w:tabs>
      <w:spacing w:after="0" w:line="240" w:lineRule="auto"/>
    </w:pPr>
  </w:style>
  <w:style w:type="table" w:styleId="6">
    <w:name w:val="Table Grid"/>
    <w:basedOn w:val="5"/>
    <w:autoRedefine/>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line number"/>
    <w:basedOn w:val="7"/>
    <w:autoRedefine/>
    <w:semiHidden/>
    <w:unhideWhenUsed/>
    <w:qFormat/>
    <w:uiPriority w:val="99"/>
  </w:style>
  <w:style w:type="character" w:styleId="9">
    <w:name w:val="Hyperlink"/>
    <w:basedOn w:val="7"/>
    <w:unhideWhenUsed/>
    <w:uiPriority w:val="99"/>
    <w:rPr>
      <w:color w:val="0563C1" w:themeColor="hyperlink"/>
      <w:u w:val="single"/>
      <w14:textFill>
        <w14:solidFill>
          <w14:schemeClr w14:val="hlink"/>
        </w14:solidFill>
      </w14:textFill>
    </w:rPr>
  </w:style>
  <w:style w:type="character" w:customStyle="1" w:styleId="10">
    <w:name w:val="页眉 Char"/>
    <w:basedOn w:val="7"/>
    <w:link w:val="4"/>
    <w:autoRedefine/>
    <w:uiPriority w:val="99"/>
    <w:rPr>
      <w:lang w:val="en-US"/>
    </w:rPr>
  </w:style>
  <w:style w:type="character" w:customStyle="1" w:styleId="11">
    <w:name w:val="页脚 Char"/>
    <w:basedOn w:val="7"/>
    <w:link w:val="3"/>
    <w:uiPriority w:val="99"/>
    <w:rPr>
      <w:lang w:val="en-US"/>
    </w:rPr>
  </w:style>
  <w:style w:type="paragraph" w:customStyle="1" w:styleId="12">
    <w:name w:val="EndNote Bibliography Title"/>
    <w:basedOn w:val="1"/>
    <w:link w:val="13"/>
    <w:qFormat/>
    <w:uiPriority w:val="0"/>
    <w:pPr>
      <w:spacing w:after="0"/>
      <w:jc w:val="center"/>
    </w:pPr>
    <w:rPr>
      <w:rFonts w:ascii="Calibri" w:hAnsi="Calibri" w:cs="Calibri"/>
    </w:rPr>
  </w:style>
  <w:style w:type="character" w:customStyle="1" w:styleId="13">
    <w:name w:val="EndNote Bibliography Title 字符"/>
    <w:basedOn w:val="7"/>
    <w:link w:val="12"/>
    <w:uiPriority w:val="0"/>
    <w:rPr>
      <w:rFonts w:ascii="Calibri" w:hAnsi="Calibri" w:cs="Calibri"/>
    </w:rPr>
  </w:style>
  <w:style w:type="paragraph" w:customStyle="1" w:styleId="14">
    <w:name w:val="EndNote Bibliography"/>
    <w:basedOn w:val="1"/>
    <w:link w:val="15"/>
    <w:autoRedefine/>
    <w:uiPriority w:val="0"/>
    <w:pPr>
      <w:spacing w:line="240" w:lineRule="auto"/>
    </w:pPr>
    <w:rPr>
      <w:rFonts w:ascii="Calibri" w:hAnsi="Calibri" w:cs="Calibri"/>
    </w:rPr>
  </w:style>
  <w:style w:type="character" w:customStyle="1" w:styleId="15">
    <w:name w:val="EndNote Bibliography 字符"/>
    <w:basedOn w:val="7"/>
    <w:link w:val="14"/>
    <w:qFormat/>
    <w:uiPriority w:val="0"/>
    <w:rPr>
      <w:rFonts w:ascii="Calibri" w:hAnsi="Calibri" w:cs="Calibri"/>
    </w:rPr>
  </w:style>
  <w:style w:type="paragraph" w:customStyle="1" w:styleId="16">
    <w:name w:val="Revision"/>
    <w:hidden/>
    <w:semiHidden/>
    <w:uiPriority w:val="99"/>
    <w:pPr>
      <w:spacing w:after="0" w:line="240" w:lineRule="auto"/>
    </w:pPr>
    <w:rPr>
      <w:rFonts w:asciiTheme="minorHAnsi" w:hAnsiTheme="minorHAnsi" w:eastAsiaTheme="minorEastAsia" w:cstheme="minorBidi"/>
      <w:kern w:val="2"/>
      <w:sz w:val="22"/>
      <w:szCs w:val="22"/>
      <w:lang w:val="en-US" w:eastAsia="zh-CN" w:bidi="ar-SA"/>
      <w14:ligatures w14:val="standardContextual"/>
    </w:rPr>
  </w:style>
  <w:style w:type="character" w:customStyle="1" w:styleId="17">
    <w:name w:val="批注框文本 Char"/>
    <w:basedOn w:val="7"/>
    <w:link w:val="2"/>
    <w:semiHidden/>
    <w:qFormat/>
    <w:uiPriority w:val="99"/>
    <w:rPr>
      <w:sz w:val="18"/>
      <w:szCs w:val="18"/>
    </w:rPr>
  </w:style>
  <w:style w:type="table" w:customStyle="1" w:styleId="18">
    <w:name w:val="网格型1"/>
    <w:basedOn w:val="5"/>
    <w:autoRedefine/>
    <w:qFormat/>
    <w:uiPriority w:val="39"/>
    <w:pPr>
      <w:spacing w:after="0" w:line="240" w:lineRule="auto"/>
    </w:pPr>
    <w:rPr>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
    <w:name w:val="网格型2"/>
    <w:basedOn w:val="5"/>
    <w:qFormat/>
    <w:uiPriority w:val="39"/>
    <w:pPr>
      <w:spacing w:after="0" w:line="240" w:lineRule="auto"/>
    </w:pPr>
    <w:rPr>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755</Words>
  <Characters>4310</Characters>
  <Lines>35</Lines>
  <Paragraphs>10</Paragraphs>
  <TotalTime>320</TotalTime>
  <ScaleCrop>false</ScaleCrop>
  <LinksUpToDate>false</LinksUpToDate>
  <CharactersWithSpaces>5055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2023-11-16T08:02:00Z</dcterms:created>
  <dc:creator>Wenshi Wang</dc:creator>
  <cp:lastModifiedBy>Jerry</cp:lastModifiedBy>
  <cp:lastPrinted>2023-11-21T03:02:00Z</cp:lastPrinted>
  <dcterms:modified xsi:type="dcterms:W3CDTF">2024-02-21T04:01:50Z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D00C7130AAF04181A056DE325F0D610A_13</vt:lpwstr>
  </property>
</Properties>
</file>