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7B8" w:rsidRDefault="00B848CE">
      <w:pPr>
        <w:jc w:val="left"/>
        <w:rPr>
          <w:rFonts w:ascii="Times New Roman" w:hAnsi="Times New Roman" w:cs="Times New Roman"/>
          <w:b/>
          <w:w w:val="105"/>
          <w:sz w:val="30"/>
          <w:szCs w:val="30"/>
        </w:rPr>
      </w:pPr>
      <w:r>
        <w:rPr>
          <w:rFonts w:ascii="Times New Roman" w:hAnsi="Times New Roman" w:cs="Times New Roman"/>
          <w:b/>
          <w:w w:val="105"/>
          <w:sz w:val="30"/>
          <w:szCs w:val="30"/>
        </w:rPr>
        <w:t>V</w:t>
      </w:r>
      <w:r>
        <w:rPr>
          <w:rFonts w:ascii="Times New Roman" w:hAnsi="Times New Roman" w:cs="Times New Roman" w:hint="eastAsia"/>
          <w:b/>
          <w:w w:val="105"/>
          <w:sz w:val="30"/>
          <w:szCs w:val="30"/>
        </w:rPr>
        <w:t>irologica Sinica</w:t>
      </w:r>
    </w:p>
    <w:p w:rsidR="004337B8" w:rsidRDefault="004337B8">
      <w:pPr>
        <w:jc w:val="left"/>
        <w:rPr>
          <w:rFonts w:ascii="Times New Roman" w:hAnsi="Times New Roman" w:cs="Times New Roman"/>
          <w:w w:val="105"/>
          <w:sz w:val="24"/>
        </w:rPr>
      </w:pPr>
    </w:p>
    <w:p w:rsidR="004337B8" w:rsidRDefault="004337B8">
      <w:pPr>
        <w:jc w:val="left"/>
        <w:rPr>
          <w:rFonts w:ascii="Times New Roman" w:hAnsi="Times New Roman" w:cs="Times New Roman"/>
          <w:b/>
          <w:bCs/>
          <w:color w:val="0078C1"/>
          <w:w w:val="105"/>
          <w:sz w:val="24"/>
        </w:rPr>
      </w:pPr>
    </w:p>
    <w:p w:rsidR="004337B8" w:rsidRDefault="00B848CE">
      <w:pPr>
        <w:adjustRightInd w:val="0"/>
        <w:snapToGrid w:val="0"/>
        <w:jc w:val="left"/>
        <w:rPr>
          <w:rFonts w:ascii="Times New Roman" w:hAnsi="Times New Roman" w:cs="Times New Roman"/>
          <w:b/>
          <w:bCs/>
          <w:w w:val="105"/>
          <w:sz w:val="30"/>
          <w:szCs w:val="30"/>
        </w:rPr>
      </w:pPr>
      <w:r>
        <w:rPr>
          <w:rFonts w:ascii="Times New Roman" w:hAnsi="Times New Roman" w:cs="Times New Roman"/>
          <w:b/>
          <w:bCs/>
          <w:w w:val="105"/>
          <w:sz w:val="30"/>
          <w:szCs w:val="30"/>
        </w:rPr>
        <w:t>Supplementary Data</w:t>
      </w:r>
    </w:p>
    <w:p w:rsidR="004337B8" w:rsidRDefault="004337B8">
      <w:pPr>
        <w:autoSpaceDE w:val="0"/>
        <w:spacing w:line="360" w:lineRule="auto"/>
        <w:rPr>
          <w:rFonts w:ascii="Times New Roman" w:eastAsia="宋体" w:hAnsi="Times New Roman" w:cs="Times New Roman"/>
          <w:b/>
          <w:bCs/>
          <w:color w:val="222222"/>
          <w:sz w:val="22"/>
          <w:szCs w:val="22"/>
          <w:lang w:bidi="ar"/>
        </w:rPr>
      </w:pPr>
    </w:p>
    <w:p w:rsidR="00A70BE0" w:rsidRPr="00A70BE0" w:rsidRDefault="00A70BE0" w:rsidP="00A70BE0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sz w:val="28"/>
          <w:szCs w:val="22"/>
          <w:shd w:val="clear" w:color="auto" w:fill="FFFFFF"/>
        </w:rPr>
      </w:pPr>
      <w:r w:rsidRPr="00A70BE0">
        <w:rPr>
          <w:rFonts w:ascii="Times New Roman" w:eastAsia="宋体" w:hAnsi="Times New Roman" w:cs="Times New Roman"/>
          <w:b/>
          <w:sz w:val="28"/>
          <w:szCs w:val="22"/>
          <w:shd w:val="clear" w:color="auto" w:fill="FFFFFF"/>
        </w:rPr>
        <w:t>Coxsackievirus B3 HFMD animal models in Syrian hamster and rhesus monkey</w:t>
      </w:r>
    </w:p>
    <w:p w:rsidR="00A70BE0" w:rsidRPr="00A70BE0" w:rsidRDefault="00A70BE0" w:rsidP="00A70BE0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sz w:val="22"/>
          <w:szCs w:val="22"/>
          <w:shd w:val="clear" w:color="auto" w:fill="FFFFFF"/>
        </w:rPr>
      </w:pPr>
    </w:p>
    <w:p w:rsidR="00A70BE0" w:rsidRPr="00A70BE0" w:rsidRDefault="00A70BE0" w:rsidP="00A70BE0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</w:pP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 xml:space="preserve">Suqin Duan </w:t>
      </w: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  <w:vertAlign w:val="superscript"/>
        </w:rPr>
        <w:t>1</w:t>
      </w: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 xml:space="preserve">, Wei Zhang </w:t>
      </w: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  <w:vertAlign w:val="superscript"/>
        </w:rPr>
        <w:t>1</w:t>
      </w: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, Yongjie Li, Yanyan Li, Yuan Zhao, Weihua Jin, Quan Liu, Mingxue Li, Wenting Sun, Lixiong Chen, Hongjie Xu, Jie Tang</w:t>
      </w: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，</w:t>
      </w: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Jinghan Hou, Zijun Deng, Fengmei Yang *, Shaohui Ma *, Zhanlong He *</w:t>
      </w:r>
    </w:p>
    <w:p w:rsidR="00A70BE0" w:rsidRPr="00A70BE0" w:rsidRDefault="00A70BE0" w:rsidP="00A70BE0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</w:pPr>
    </w:p>
    <w:p w:rsidR="00A70BE0" w:rsidRPr="00A70BE0" w:rsidRDefault="00A70BE0" w:rsidP="00A70BE0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</w:pP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Institute of Medical Biology Chinese Academy of Medical Sciences Medical Primate Research Center Peking Union Medical College Yunnan Key Laboratory of Vaccine R</w:t>
      </w:r>
      <w:bookmarkStart w:id="0" w:name="_GoBack"/>
      <w:bookmarkEnd w:id="0"/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esearch Development on Severe Infectious Disease Kunming, 650118, China</w:t>
      </w:r>
    </w:p>
    <w:p w:rsidR="00A70BE0" w:rsidRPr="00A70BE0" w:rsidRDefault="00A70BE0" w:rsidP="00A70BE0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</w:pP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 xml:space="preserve"> </w:t>
      </w:r>
    </w:p>
    <w:p w:rsidR="00A70BE0" w:rsidRPr="00A70BE0" w:rsidRDefault="00A70BE0" w:rsidP="00A70BE0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</w:pP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 xml:space="preserve">*Corresponding authors: </w:t>
      </w:r>
    </w:p>
    <w:p w:rsidR="00A70BE0" w:rsidRPr="00A70BE0" w:rsidRDefault="00A70BE0" w:rsidP="00A70BE0">
      <w:pPr>
        <w:autoSpaceDE w:val="0"/>
        <w:adjustRightInd w:val="0"/>
        <w:snapToGrid w:val="0"/>
        <w:spacing w:line="360" w:lineRule="auto"/>
        <w:jc w:val="left"/>
        <w:rPr>
          <w:rFonts w:ascii="Times New Roman" w:eastAsia="等线" w:hAnsi="Times New Roman" w:cs="Times New Roman"/>
          <w:sz w:val="22"/>
          <w:szCs w:val="22"/>
          <w:shd w:val="clear" w:color="auto" w:fill="FFFFFF"/>
        </w:rPr>
      </w:pPr>
      <w:r w:rsidRPr="00A70BE0">
        <w:rPr>
          <w:rFonts w:ascii="Times New Roman" w:eastAsia="宋体" w:hAnsi="Times New Roman" w:cs="Times New Roman" w:hint="eastAsia"/>
          <w:sz w:val="22"/>
          <w:szCs w:val="22"/>
          <w:shd w:val="clear" w:color="auto" w:fill="FFFFFF"/>
        </w:rPr>
        <w:t>Email</w:t>
      </w: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 xml:space="preserve"> address: hzl@imbcams.com.cn</w:t>
      </w:r>
      <w:r w:rsidRPr="00A70BE0">
        <w:rPr>
          <w:rFonts w:ascii="Times New Roman" w:eastAsia="等线" w:hAnsi="Times New Roman" w:cs="Times New Roman"/>
          <w:sz w:val="22"/>
          <w:szCs w:val="22"/>
          <w:shd w:val="clear" w:color="auto" w:fill="FFFFFF"/>
        </w:rPr>
        <w:t xml:space="preserve"> </w:t>
      </w:r>
      <w:bookmarkStart w:id="1" w:name="OLE_LINK4"/>
      <w:r w:rsidRPr="00A70BE0">
        <w:rPr>
          <w:rFonts w:ascii="Times New Roman" w:eastAsia="等线" w:hAnsi="Times New Roman" w:cs="Times New Roman"/>
          <w:sz w:val="22"/>
          <w:szCs w:val="22"/>
          <w:shd w:val="clear" w:color="auto" w:fill="FFFFFF"/>
        </w:rPr>
        <w:t>(Z. He)</w:t>
      </w:r>
      <w:bookmarkEnd w:id="1"/>
      <w:r w:rsidRPr="00A70BE0">
        <w:rPr>
          <w:rFonts w:ascii="Times New Roman" w:eastAsia="等线" w:hAnsi="Times New Roman" w:cs="Times New Roman"/>
          <w:sz w:val="22"/>
          <w:szCs w:val="22"/>
          <w:shd w:val="clear" w:color="auto" w:fill="FFFFFF"/>
        </w:rPr>
        <w:t xml:space="preserve">; </w:t>
      </w: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shaohuima@imbcams.com.cn</w:t>
      </w:r>
      <w:r w:rsidR="00840A6F">
        <w:rPr>
          <w:rFonts w:ascii="Times New Roman" w:eastAsia="等线" w:hAnsi="Times New Roman" w:cs="Times New Roman"/>
          <w:sz w:val="22"/>
          <w:szCs w:val="22"/>
          <w:shd w:val="clear" w:color="auto" w:fill="FFFFFF"/>
        </w:rPr>
        <w:t xml:space="preserve"> </w:t>
      </w:r>
      <w:r w:rsidR="00840A6F">
        <w:rPr>
          <w:rFonts w:ascii="Times New Roman" w:eastAsia="等线" w:hAnsi="Times New Roman" w:cs="Times New Roman" w:hint="eastAsia"/>
          <w:sz w:val="22"/>
          <w:szCs w:val="22"/>
          <w:shd w:val="clear" w:color="auto" w:fill="FFFFFF"/>
        </w:rPr>
        <w:t>(</w:t>
      </w:r>
      <w:r w:rsidRPr="00A70BE0">
        <w:rPr>
          <w:rFonts w:ascii="Times New Roman" w:eastAsia="等线" w:hAnsi="Times New Roman" w:cs="Times New Roman"/>
          <w:sz w:val="22"/>
          <w:szCs w:val="22"/>
          <w:shd w:val="clear" w:color="auto" w:fill="FFFFFF"/>
        </w:rPr>
        <w:t xml:space="preserve">S. Ma); </w:t>
      </w: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 xml:space="preserve">yangfenmei@imbcams.com.cn </w:t>
      </w:r>
      <w:r w:rsidRPr="00A70BE0">
        <w:rPr>
          <w:rFonts w:ascii="Times New Roman" w:eastAsia="等线" w:hAnsi="Times New Roman" w:cs="Times New Roman"/>
          <w:sz w:val="22"/>
          <w:szCs w:val="22"/>
          <w:shd w:val="clear" w:color="auto" w:fill="FFFFFF"/>
        </w:rPr>
        <w:t>(F. Yang)</w:t>
      </w:r>
    </w:p>
    <w:p w:rsidR="00A70BE0" w:rsidRPr="00A70BE0" w:rsidRDefault="00A70BE0" w:rsidP="00A70BE0">
      <w:pPr>
        <w:autoSpaceDE w:val="0"/>
        <w:adjustRightInd w:val="0"/>
        <w:snapToGrid w:val="0"/>
        <w:spacing w:line="360" w:lineRule="auto"/>
        <w:rPr>
          <w:rFonts w:ascii="Times New Roman" w:eastAsia="等线" w:hAnsi="Times New Roman" w:cs="Times New Roman"/>
          <w:sz w:val="22"/>
          <w:szCs w:val="22"/>
          <w:shd w:val="clear" w:color="auto" w:fill="FFFFFF"/>
        </w:rPr>
      </w:pP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ORCID:</w:t>
      </w:r>
      <w:r w:rsidRPr="00A70BE0">
        <w:rPr>
          <w:rFonts w:ascii="Times New Roman" w:eastAsia="等线" w:hAnsi="Times New Roman" w:cs="Times New Roman"/>
          <w:sz w:val="22"/>
          <w:szCs w:val="22"/>
          <w:shd w:val="clear" w:color="auto" w:fill="FFFFFF"/>
        </w:rPr>
        <w:t xml:space="preserve"> 0000-0001-5379-2521 (Z. He); 0000-0002-8992-1177 (S. Ma); 0009-0002-3630-0841 (F. Yang)</w:t>
      </w:r>
    </w:p>
    <w:p w:rsidR="00A70BE0" w:rsidRPr="00A70BE0" w:rsidRDefault="00A70BE0" w:rsidP="00A70BE0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</w:pPr>
    </w:p>
    <w:p w:rsidR="00A70BE0" w:rsidRPr="00A70BE0" w:rsidRDefault="00A70BE0" w:rsidP="00A70BE0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</w:pP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  <w:vertAlign w:val="superscript"/>
        </w:rPr>
        <w:t>1</w:t>
      </w: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 xml:space="preserve"> Suqin Duan and Wei Zhang contributed equally to this work.</w:t>
      </w:r>
    </w:p>
    <w:p w:rsidR="004337B8" w:rsidRDefault="00B848CE">
      <w:pPr>
        <w:autoSpaceDE w:val="0"/>
        <w:snapToGrid w:val="0"/>
        <w:spacing w:line="360" w:lineRule="auto"/>
        <w:contextualSpacing/>
        <w:rPr>
          <w:rFonts w:ascii="Times New Roman" w:eastAsia="宋体" w:hAnsi="Times New Roman" w:cs="Times New Roman"/>
          <w:b/>
          <w:bCs/>
          <w:color w:val="222222"/>
          <w:sz w:val="22"/>
          <w:szCs w:val="22"/>
          <w:shd w:val="clear" w:color="auto" w:fill="FFFFFF"/>
          <w:lang w:bidi="ar"/>
        </w:rPr>
      </w:pPr>
      <w:r>
        <w:rPr>
          <w:rFonts w:ascii="Times New Roman" w:eastAsia="宋体" w:hAnsi="Times New Roman" w:cs="Times New Roman"/>
          <w:b/>
          <w:bCs/>
          <w:color w:val="222222"/>
          <w:sz w:val="22"/>
          <w:szCs w:val="22"/>
          <w:shd w:val="clear" w:color="auto" w:fill="FFFFFF"/>
          <w:lang w:bidi="ar"/>
        </w:rPr>
        <w:t xml:space="preserve"> </w:t>
      </w:r>
    </w:p>
    <w:p w:rsidR="004337B8" w:rsidRDefault="00B848CE">
      <w:pPr>
        <w:rPr>
          <w:rStyle w:val="15"/>
          <w:rFonts w:eastAsia="宋体"/>
          <w:b/>
          <w:bCs/>
          <w:color w:val="101214"/>
          <w:sz w:val="22"/>
          <w:szCs w:val="22"/>
          <w:shd w:val="clear" w:color="auto" w:fill="FFFFFF"/>
          <w:lang w:bidi="ar"/>
        </w:rPr>
      </w:pPr>
      <w:r>
        <w:rPr>
          <w:rStyle w:val="15"/>
          <w:rFonts w:eastAsia="宋体"/>
          <w:b/>
          <w:bCs/>
          <w:color w:val="101214"/>
          <w:sz w:val="22"/>
          <w:szCs w:val="22"/>
          <w:shd w:val="clear" w:color="auto" w:fill="FFFFFF"/>
          <w:lang w:bidi="ar"/>
        </w:rPr>
        <w:br w:type="page"/>
      </w:r>
    </w:p>
    <w:p w:rsidR="004337B8" w:rsidRDefault="00B848CE">
      <w:pPr>
        <w:autoSpaceDE w:val="0"/>
        <w:spacing w:line="480" w:lineRule="auto"/>
        <w:rPr>
          <w:rStyle w:val="15"/>
          <w:rFonts w:eastAsia="宋体"/>
          <w:b/>
          <w:bCs/>
          <w:color w:val="101214"/>
          <w:sz w:val="22"/>
          <w:szCs w:val="22"/>
          <w:shd w:val="clear" w:color="auto" w:fill="FFFFFF"/>
          <w:lang w:bidi="ar"/>
        </w:rPr>
      </w:pPr>
      <w:r>
        <w:rPr>
          <w:rStyle w:val="15"/>
          <w:rFonts w:eastAsia="宋体"/>
          <w:b/>
          <w:bCs/>
          <w:color w:val="101214"/>
          <w:sz w:val="22"/>
          <w:szCs w:val="22"/>
          <w:shd w:val="clear" w:color="auto" w:fill="FFFFFF"/>
          <w:lang w:bidi="ar"/>
        </w:rPr>
        <w:lastRenderedPageBreak/>
        <w:t>Supplementary materials</w:t>
      </w:r>
    </w:p>
    <w:p w:rsidR="00A70BE0" w:rsidRPr="00A70BE0" w:rsidRDefault="00A70BE0" w:rsidP="00A70BE0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</w:pPr>
      <w:r w:rsidRPr="00A70BE0">
        <w:rPr>
          <w:rFonts w:ascii="Times New Roman" w:eastAsia="宋体" w:hAnsi="Times New Roman" w:cs="Times New Roman"/>
          <w:b/>
          <w:bCs/>
          <w:sz w:val="22"/>
          <w:szCs w:val="22"/>
          <w:shd w:val="clear" w:color="auto" w:fill="FFFFFF"/>
        </w:rPr>
        <w:t>Supplementary Table 1</w:t>
      </w:r>
      <w:r w:rsidRPr="00A70BE0">
        <w:rPr>
          <w:rFonts w:ascii="Times New Roman" w:eastAsia="宋体" w:hAnsi="Times New Roman" w:cs="Times New Roman"/>
          <w:b/>
          <w:sz w:val="22"/>
          <w:szCs w:val="22"/>
          <w:shd w:val="clear" w:color="auto" w:fill="FFFFFF"/>
        </w:rPr>
        <w:t xml:space="preserve">. </w:t>
      </w:r>
      <w:bookmarkStart w:id="2" w:name="OLE_LINK9"/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Clinical manifestation score</w:t>
      </w:r>
      <w:bookmarkEnd w:id="2"/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s of CVB3 infected Syrian hamsters.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2"/>
        <w:gridCol w:w="405"/>
        <w:gridCol w:w="405"/>
        <w:gridCol w:w="404"/>
        <w:gridCol w:w="404"/>
        <w:gridCol w:w="404"/>
        <w:gridCol w:w="406"/>
        <w:gridCol w:w="546"/>
        <w:gridCol w:w="546"/>
        <w:gridCol w:w="544"/>
        <w:gridCol w:w="544"/>
        <w:gridCol w:w="544"/>
        <w:gridCol w:w="560"/>
        <w:gridCol w:w="552"/>
        <w:gridCol w:w="546"/>
        <w:gridCol w:w="546"/>
        <w:gridCol w:w="408"/>
        <w:gridCol w:w="546"/>
        <w:gridCol w:w="410"/>
      </w:tblGrid>
      <w:tr w:rsidR="00A70BE0" w:rsidRPr="00A70BE0" w:rsidTr="00FA1FDB">
        <w:trPr>
          <w:trHeight w:val="20"/>
          <w:jc w:val="center"/>
        </w:trPr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b/>
                <w:sz w:val="22"/>
                <w:szCs w:val="22"/>
                <w:shd w:val="clear" w:color="auto" w:fill="FFFFFF"/>
              </w:rPr>
              <w:t>Group</w:t>
            </w:r>
          </w:p>
        </w:tc>
        <w:tc>
          <w:tcPr>
            <w:tcW w:w="1219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b/>
                <w:sz w:val="22"/>
                <w:szCs w:val="22"/>
                <w:shd w:val="clear" w:color="auto" w:fill="FFFFFF"/>
              </w:rPr>
              <w:t>CG</w:t>
            </w:r>
          </w:p>
        </w:tc>
        <w:tc>
          <w:tcPr>
            <w:tcW w:w="1648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b/>
                <w:sz w:val="22"/>
                <w:szCs w:val="22"/>
                <w:shd w:val="clear" w:color="auto" w:fill="FFFFFF"/>
              </w:rPr>
              <w:t>IG</w:t>
            </w:r>
          </w:p>
        </w:tc>
        <w:tc>
          <w:tcPr>
            <w:tcW w:w="1510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b/>
                <w:sz w:val="22"/>
                <w:szCs w:val="22"/>
                <w:shd w:val="clear" w:color="auto" w:fill="FFFFFF"/>
              </w:rPr>
              <w:t>NG</w:t>
            </w:r>
          </w:p>
        </w:tc>
      </w:tr>
      <w:tr w:rsidR="00A70BE0" w:rsidRPr="00A70BE0" w:rsidTr="00FA1FDB">
        <w:trPr>
          <w:trHeight w:val="20"/>
          <w:jc w:val="center"/>
        </w:trPr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Number</w:t>
            </w:r>
          </w:p>
        </w:tc>
        <w:tc>
          <w:tcPr>
            <w:tcW w:w="20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1</w:t>
            </w:r>
          </w:p>
        </w:tc>
        <w:tc>
          <w:tcPr>
            <w:tcW w:w="20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20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3</w:t>
            </w:r>
          </w:p>
        </w:tc>
        <w:tc>
          <w:tcPr>
            <w:tcW w:w="20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20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20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6</w:t>
            </w:r>
          </w:p>
        </w:tc>
        <w:tc>
          <w:tcPr>
            <w:tcW w:w="27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1</w:t>
            </w:r>
          </w:p>
        </w:tc>
        <w:tc>
          <w:tcPr>
            <w:tcW w:w="27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3</w:t>
            </w: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 xml:space="preserve">6 </w:t>
            </w:r>
          </w:p>
        </w:tc>
        <w:tc>
          <w:tcPr>
            <w:tcW w:w="2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1</w:t>
            </w:r>
          </w:p>
        </w:tc>
        <w:tc>
          <w:tcPr>
            <w:tcW w:w="27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27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3</w:t>
            </w:r>
          </w:p>
        </w:tc>
        <w:tc>
          <w:tcPr>
            <w:tcW w:w="2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27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2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6</w:t>
            </w:r>
          </w:p>
        </w:tc>
      </w:tr>
      <w:tr w:rsidR="00A70BE0" w:rsidRPr="00A70BE0" w:rsidTr="00FA1FDB">
        <w:trPr>
          <w:trHeight w:val="20"/>
          <w:jc w:val="center"/>
        </w:trPr>
        <w:tc>
          <w:tcPr>
            <w:tcW w:w="623" w:type="pct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D0</w:t>
            </w:r>
          </w:p>
        </w:tc>
        <w:tc>
          <w:tcPr>
            <w:tcW w:w="203" w:type="pct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4" w:type="pct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4" w:type="pct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81" w:type="pct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7" w:type="pct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4" w:type="pct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4" w:type="pct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5" w:type="pct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4" w:type="pct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5" w:type="pct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</w:tr>
      <w:tr w:rsidR="00A70BE0" w:rsidRPr="00A70BE0" w:rsidTr="00FA1FDB">
        <w:trPr>
          <w:trHeight w:val="20"/>
          <w:jc w:val="center"/>
        </w:trPr>
        <w:tc>
          <w:tcPr>
            <w:tcW w:w="62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D1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81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7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5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5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</w:tr>
      <w:tr w:rsidR="00A70BE0" w:rsidRPr="00A70BE0" w:rsidTr="00FA1FDB">
        <w:trPr>
          <w:trHeight w:val="20"/>
          <w:jc w:val="center"/>
        </w:trPr>
        <w:tc>
          <w:tcPr>
            <w:tcW w:w="62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D2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27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27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27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281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277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205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205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2</w:t>
            </w:r>
          </w:p>
        </w:tc>
      </w:tr>
      <w:tr w:rsidR="00A70BE0" w:rsidRPr="00A70BE0" w:rsidTr="00FA1FDB">
        <w:trPr>
          <w:trHeight w:val="20"/>
          <w:jc w:val="center"/>
        </w:trPr>
        <w:tc>
          <w:tcPr>
            <w:tcW w:w="62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D3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27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27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27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281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277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205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205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</w:tr>
      <w:tr w:rsidR="00A70BE0" w:rsidRPr="00A70BE0" w:rsidTr="00FA1FDB">
        <w:trPr>
          <w:trHeight w:val="20"/>
          <w:jc w:val="center"/>
        </w:trPr>
        <w:tc>
          <w:tcPr>
            <w:tcW w:w="62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D4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27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27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27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281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277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205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205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</w:tr>
      <w:tr w:rsidR="00A70BE0" w:rsidRPr="00A70BE0" w:rsidTr="00FA1FDB">
        <w:trPr>
          <w:trHeight w:val="20"/>
          <w:jc w:val="center"/>
        </w:trPr>
        <w:tc>
          <w:tcPr>
            <w:tcW w:w="62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D5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27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27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27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281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277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205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205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</w:tr>
      <w:tr w:rsidR="00A70BE0" w:rsidRPr="00A70BE0" w:rsidTr="00FA1FDB">
        <w:trPr>
          <w:trHeight w:val="20"/>
          <w:jc w:val="center"/>
        </w:trPr>
        <w:tc>
          <w:tcPr>
            <w:tcW w:w="62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D6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27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81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277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205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205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</w:tr>
      <w:tr w:rsidR="00A70BE0" w:rsidRPr="00A70BE0" w:rsidTr="00FA1FDB">
        <w:trPr>
          <w:trHeight w:val="20"/>
          <w:jc w:val="center"/>
        </w:trPr>
        <w:tc>
          <w:tcPr>
            <w:tcW w:w="62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D7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27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27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27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281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277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205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5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</w:tr>
      <w:tr w:rsidR="00A70BE0" w:rsidRPr="00A70BE0" w:rsidTr="00FA1FDB">
        <w:trPr>
          <w:trHeight w:val="20"/>
          <w:jc w:val="center"/>
        </w:trPr>
        <w:tc>
          <w:tcPr>
            <w:tcW w:w="62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D8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27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7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81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77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205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205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A70BE0" w:rsidRPr="00A70BE0" w:rsidTr="00FA1FDB">
        <w:trPr>
          <w:trHeight w:val="20"/>
          <w:jc w:val="center"/>
        </w:trPr>
        <w:tc>
          <w:tcPr>
            <w:tcW w:w="62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D9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27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27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281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277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5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205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A70BE0" w:rsidRPr="00A70BE0" w:rsidTr="00FA1FDB">
        <w:trPr>
          <w:trHeight w:val="20"/>
          <w:jc w:val="center"/>
        </w:trPr>
        <w:tc>
          <w:tcPr>
            <w:tcW w:w="62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D10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27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281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277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5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205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A70BE0" w:rsidRPr="00A70BE0" w:rsidTr="00FA1FDB">
        <w:trPr>
          <w:trHeight w:val="20"/>
          <w:jc w:val="center"/>
        </w:trPr>
        <w:tc>
          <w:tcPr>
            <w:tcW w:w="62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D11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27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281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277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5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205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A70BE0" w:rsidRPr="00A70BE0" w:rsidTr="00FA1FDB">
        <w:trPr>
          <w:trHeight w:val="20"/>
          <w:jc w:val="center"/>
        </w:trPr>
        <w:tc>
          <w:tcPr>
            <w:tcW w:w="62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D12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27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281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277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5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205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A70BE0" w:rsidRPr="00A70BE0" w:rsidTr="00FA1FDB">
        <w:trPr>
          <w:trHeight w:val="20"/>
          <w:jc w:val="center"/>
        </w:trPr>
        <w:tc>
          <w:tcPr>
            <w:tcW w:w="62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D13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20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273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281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277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5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274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205" w:type="pc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A70BE0" w:rsidRPr="00A70BE0" w:rsidTr="00FA1FDB">
        <w:trPr>
          <w:trHeight w:val="20"/>
          <w:jc w:val="center"/>
        </w:trPr>
        <w:tc>
          <w:tcPr>
            <w:tcW w:w="623" w:type="pct"/>
            <w:tcBorders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D14</w:t>
            </w:r>
          </w:p>
        </w:tc>
        <w:tc>
          <w:tcPr>
            <w:tcW w:w="203" w:type="pct"/>
            <w:tcBorders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tcBorders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tcBorders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3" w:type="pct"/>
            <w:tcBorders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203" w:type="pct"/>
            <w:tcBorders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203" w:type="pct"/>
            <w:tcBorders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-</w:t>
            </w:r>
          </w:p>
        </w:tc>
        <w:tc>
          <w:tcPr>
            <w:tcW w:w="274" w:type="pct"/>
            <w:tcBorders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4" w:type="pct"/>
            <w:tcBorders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3" w:type="pct"/>
            <w:tcBorders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3" w:type="pct"/>
            <w:tcBorders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 xml:space="preserve">　</w:t>
            </w:r>
          </w:p>
        </w:tc>
        <w:tc>
          <w:tcPr>
            <w:tcW w:w="273" w:type="pct"/>
            <w:tcBorders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 xml:space="preserve">　</w:t>
            </w:r>
          </w:p>
        </w:tc>
        <w:tc>
          <w:tcPr>
            <w:tcW w:w="281" w:type="pct"/>
            <w:tcBorders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 xml:space="preserve">　</w:t>
            </w:r>
          </w:p>
        </w:tc>
        <w:tc>
          <w:tcPr>
            <w:tcW w:w="277" w:type="pct"/>
            <w:tcBorders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4" w:type="pct"/>
            <w:tcBorders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74" w:type="pct"/>
            <w:tcBorders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205" w:type="pct"/>
            <w:tcBorders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 xml:space="preserve">　</w:t>
            </w:r>
          </w:p>
        </w:tc>
        <w:tc>
          <w:tcPr>
            <w:tcW w:w="274" w:type="pct"/>
            <w:tcBorders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 xml:space="preserve">　</w:t>
            </w:r>
          </w:p>
        </w:tc>
        <w:tc>
          <w:tcPr>
            <w:tcW w:w="205" w:type="pct"/>
            <w:tcBorders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 xml:space="preserve">　</w:t>
            </w:r>
          </w:p>
        </w:tc>
      </w:tr>
    </w:tbl>
    <w:p w:rsidR="00A70BE0" w:rsidRPr="00A70BE0" w:rsidRDefault="00A70BE0" w:rsidP="00A70BE0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</w:pP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Notes: The clinical manifestations of CVB3-infected Syrian hamsters were scored based on the following criteria</w:t>
      </w:r>
      <w:r w:rsidR="00652B53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, and the final score was computed by adding the G</w:t>
      </w:r>
      <w:r w:rsidR="00652B53"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eneral performance</w:t>
      </w:r>
      <w:r w:rsidR="00652B53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 xml:space="preserve"> score and the F</w:t>
      </w:r>
      <w:r w:rsidR="00652B53"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ood consumption</w:t>
      </w:r>
      <w:r w:rsidR="00652B53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 xml:space="preserve"> score</w:t>
      </w: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. General performance: normal</w:t>
      </w:r>
      <w:r w:rsidRPr="00A70BE0">
        <w:rPr>
          <w:rFonts w:ascii="Times New Roman" w:eastAsia="宋体" w:hAnsi="Times New Roman" w:cs="Times New Roman" w:hint="eastAsia"/>
          <w:sz w:val="22"/>
          <w:szCs w:val="22"/>
          <w:shd w:val="clear" w:color="auto" w:fill="FFFFFF"/>
        </w:rPr>
        <w:t>,</w:t>
      </w: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 xml:space="preserve"> 0; slow/quiet/alert/freedom of movement, 5; quiet/hunched back/alertness/limited movement, 10; lethargy/inability to move/no alertness, 15; Food consumption: normal, 0; decreased appetite, 2; anorexia, 5.</w:t>
      </w:r>
      <w:r w:rsidR="00652B53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 xml:space="preserve"> </w:t>
      </w:r>
      <w:r w:rsidR="00652B53" w:rsidRPr="00652B53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In this table</w:t>
      </w:r>
      <w:r w:rsidR="00652B53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,</w:t>
      </w:r>
      <w:r w:rsidR="00652B53" w:rsidRPr="00652B53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 xml:space="preserve"> </w:t>
      </w:r>
      <w:r w:rsidR="00652B53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 xml:space="preserve">animals </w:t>
      </w:r>
      <w:r w:rsidR="00EC377B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 xml:space="preserve">with a </w:t>
      </w:r>
      <w:r w:rsidR="00652B53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 xml:space="preserve">score </w:t>
      </w:r>
      <w:r w:rsidR="00EC377B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 xml:space="preserve">of </w:t>
      </w:r>
      <w:r w:rsidR="00652B53" w:rsidRPr="00652B53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 xml:space="preserve">"10" </w:t>
      </w:r>
      <w:r w:rsidR="00EC377B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exhibit</w:t>
      </w:r>
      <w:r w:rsidR="00652B53" w:rsidRPr="00652B53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 xml:space="preserve"> slow/quiet</w:t>
      </w:r>
      <w:r w:rsidR="00652B53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/alert/</w:t>
      </w:r>
      <w:r w:rsidR="00652B53" w:rsidRPr="00652B53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free movement</w:t>
      </w:r>
      <w:r w:rsidR="00EC377B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, along with</w:t>
      </w:r>
      <w:r w:rsidR="00652B53" w:rsidRPr="00652B53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 xml:space="preserve"> anor</w:t>
      </w:r>
      <w:r w:rsidR="00652B53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exia</w:t>
      </w:r>
      <w:r w:rsidR="00652B53" w:rsidRPr="00652B53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.</w:t>
      </w:r>
    </w:p>
    <w:p w:rsidR="00A70BE0" w:rsidRPr="00EC377B" w:rsidRDefault="00A70BE0" w:rsidP="00A70BE0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bCs/>
          <w:sz w:val="22"/>
          <w:szCs w:val="22"/>
          <w:shd w:val="clear" w:color="auto" w:fill="FFFFFF"/>
        </w:rPr>
        <w:sectPr w:rsidR="00A70BE0" w:rsidRPr="00EC377B" w:rsidSect="00737C1B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A70BE0" w:rsidRPr="00A70BE0" w:rsidRDefault="00A70BE0" w:rsidP="00A70BE0">
      <w:pPr>
        <w:autoSpaceDE w:val="0"/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sz w:val="22"/>
          <w:szCs w:val="22"/>
          <w:shd w:val="clear" w:color="auto" w:fill="FFFFFF"/>
        </w:rPr>
      </w:pPr>
      <w:r w:rsidRPr="00A70BE0">
        <w:rPr>
          <w:rFonts w:ascii="Times New Roman" w:eastAsia="宋体" w:hAnsi="Times New Roman" w:cs="Times New Roman"/>
          <w:b/>
          <w:bCs/>
          <w:sz w:val="22"/>
          <w:szCs w:val="22"/>
          <w:shd w:val="clear" w:color="auto" w:fill="FFFFFF"/>
        </w:rPr>
        <w:lastRenderedPageBreak/>
        <w:t>Supplementary Table 2</w:t>
      </w:r>
      <w:r w:rsidRPr="00A70BE0">
        <w:rPr>
          <w:rFonts w:ascii="Times New Roman" w:eastAsia="宋体" w:hAnsi="Times New Roman" w:cs="Times New Roman"/>
          <w:b/>
          <w:sz w:val="22"/>
          <w:szCs w:val="22"/>
          <w:shd w:val="clear" w:color="auto" w:fill="FFFFFF"/>
        </w:rPr>
        <w:t xml:space="preserve">. </w:t>
      </w: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 xml:space="preserve">Clinical manifestation scores of CVB3 infected rhesus monkey.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3"/>
        <w:gridCol w:w="485"/>
        <w:gridCol w:w="485"/>
        <w:gridCol w:w="485"/>
        <w:gridCol w:w="473"/>
        <w:gridCol w:w="473"/>
        <w:gridCol w:w="473"/>
      </w:tblGrid>
      <w:tr w:rsidR="00A70BE0" w:rsidRPr="00A70BE0" w:rsidTr="00FA1FDB">
        <w:trPr>
          <w:trHeight w:val="2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Time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A1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A2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A3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B1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B2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B3</w:t>
            </w:r>
          </w:p>
        </w:tc>
      </w:tr>
      <w:tr w:rsidR="00A70BE0" w:rsidRPr="00A70BE0" w:rsidTr="00FA1FDB">
        <w:trPr>
          <w:trHeight w:val="20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D0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</w:tr>
      <w:tr w:rsidR="00A70BE0" w:rsidRPr="00A70BE0" w:rsidTr="00FA1FDB">
        <w:trPr>
          <w:trHeight w:val="20"/>
        </w:trPr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D1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</w:tr>
      <w:tr w:rsidR="00A70BE0" w:rsidRPr="00A70BE0" w:rsidTr="00FA1FDB">
        <w:trPr>
          <w:trHeight w:val="20"/>
        </w:trPr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D2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</w:tr>
      <w:tr w:rsidR="00A70BE0" w:rsidRPr="00A70BE0" w:rsidTr="00FA1FDB">
        <w:trPr>
          <w:trHeight w:val="20"/>
        </w:trPr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D3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</w:tr>
      <w:tr w:rsidR="00A70BE0" w:rsidRPr="00A70BE0" w:rsidTr="00FA1FDB">
        <w:trPr>
          <w:trHeight w:val="20"/>
        </w:trPr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D4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</w:tr>
      <w:tr w:rsidR="00A70BE0" w:rsidRPr="00A70BE0" w:rsidTr="00FA1FDB">
        <w:trPr>
          <w:trHeight w:val="20"/>
        </w:trPr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D5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</w:tr>
      <w:tr w:rsidR="00A70BE0" w:rsidRPr="00A70BE0" w:rsidTr="00FA1FDB">
        <w:trPr>
          <w:trHeight w:val="20"/>
        </w:trPr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D6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15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</w:tr>
      <w:tr w:rsidR="00A70BE0" w:rsidRPr="00A70BE0" w:rsidTr="00FA1FDB">
        <w:trPr>
          <w:trHeight w:val="20"/>
        </w:trPr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D7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15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</w:tr>
      <w:tr w:rsidR="00A70BE0" w:rsidRPr="00A70BE0" w:rsidTr="00FA1FDB">
        <w:trPr>
          <w:trHeight w:val="20"/>
        </w:trPr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D8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15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</w:tr>
      <w:tr w:rsidR="00A70BE0" w:rsidRPr="00A70BE0" w:rsidTr="00FA1FDB">
        <w:trPr>
          <w:trHeight w:val="20"/>
        </w:trPr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D9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</w:tr>
      <w:tr w:rsidR="00A70BE0" w:rsidRPr="00A70BE0" w:rsidTr="00FA1FDB">
        <w:trPr>
          <w:trHeight w:val="20"/>
        </w:trPr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D10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</w:tr>
      <w:tr w:rsidR="00A70BE0" w:rsidRPr="00A70BE0" w:rsidTr="00FA1FDB">
        <w:trPr>
          <w:trHeight w:val="20"/>
        </w:trPr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D11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</w:tr>
      <w:tr w:rsidR="00A70BE0" w:rsidRPr="00A70BE0" w:rsidTr="00FA1FDB">
        <w:trPr>
          <w:trHeight w:val="20"/>
        </w:trPr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D12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</w:tr>
      <w:tr w:rsidR="00A70BE0" w:rsidRPr="00A70BE0" w:rsidTr="00FA1FDB">
        <w:trPr>
          <w:trHeight w:val="20"/>
        </w:trPr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D13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</w:tr>
      <w:tr w:rsidR="00A70BE0" w:rsidRPr="00A70BE0" w:rsidTr="00FA1FDB">
        <w:trPr>
          <w:trHeight w:val="20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D14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70BE0" w:rsidRPr="00A70BE0" w:rsidRDefault="00A70BE0" w:rsidP="00A70BE0">
            <w:pPr>
              <w:autoSpaceDE w:val="0"/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</w:pPr>
            <w:r w:rsidRPr="00A70BE0">
              <w:rPr>
                <w:rFonts w:ascii="Times New Roman" w:eastAsia="宋体" w:hAnsi="Times New Roman" w:cs="Times New Roman"/>
                <w:sz w:val="22"/>
                <w:szCs w:val="22"/>
                <w:shd w:val="clear" w:color="auto" w:fill="FFFFFF"/>
              </w:rPr>
              <w:t>0</w:t>
            </w:r>
          </w:p>
        </w:tc>
      </w:tr>
    </w:tbl>
    <w:p w:rsidR="00A70BE0" w:rsidRPr="00A70BE0" w:rsidRDefault="00A70BE0" w:rsidP="00A70BE0">
      <w:pPr>
        <w:autoSpaceDE w:val="0"/>
        <w:adjustRightInd w:val="0"/>
        <w:snapToGrid w:val="0"/>
        <w:spacing w:line="360" w:lineRule="auto"/>
        <w:rPr>
          <w:rFonts w:ascii="Times New Roman" w:eastAsia="等线" w:hAnsi="Times New Roman" w:cs="Times New Roman"/>
          <w:bCs/>
          <w:kern w:val="0"/>
          <w:sz w:val="22"/>
          <w:szCs w:val="22"/>
          <w:shd w:val="clear" w:color="auto" w:fill="FFFFFF"/>
        </w:rPr>
      </w:pP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Notes: The clinical manifestations of CVB3-infected rhesus monkeys were scored based on the following criteria</w:t>
      </w:r>
      <w:r w:rsidR="00EC377B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, and the final score was computed by adding the G</w:t>
      </w:r>
      <w:r w:rsidR="00EC377B"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eneral performance</w:t>
      </w:r>
      <w:r w:rsidR="00EC377B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 xml:space="preserve"> score and the F</w:t>
      </w:r>
      <w:r w:rsidR="00EC377B"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ood consumption</w:t>
      </w:r>
      <w:r w:rsidR="00EC377B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 xml:space="preserve"> score</w:t>
      </w:r>
      <w:r w:rsidRPr="00A70BE0">
        <w:rPr>
          <w:rFonts w:ascii="Times New Roman" w:eastAsia="宋体" w:hAnsi="Times New Roman" w:cs="Times New Roman" w:hint="eastAsia"/>
          <w:sz w:val="22"/>
          <w:szCs w:val="22"/>
          <w:shd w:val="clear" w:color="auto" w:fill="FFFFFF"/>
        </w:rPr>
        <w:t>.</w:t>
      </w: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 xml:space="preserve"> General performance: normal, 0; slow/quiet/alert/freedom of movement, 5; quiet/hunched back/alertness/limited movement, 10; lethargy/inability to move/no alertness, 15; Food consumption: normal, 0; decreased appetite, 2; anorexia, 5.</w:t>
      </w:r>
    </w:p>
    <w:p w:rsidR="00A70BE0" w:rsidRPr="00A70BE0" w:rsidRDefault="00A70BE0" w:rsidP="00A70BE0">
      <w:pPr>
        <w:autoSpaceDE w:val="0"/>
        <w:adjustRightInd w:val="0"/>
        <w:snapToGrid w:val="0"/>
        <w:spacing w:line="360" w:lineRule="auto"/>
        <w:rPr>
          <w:rFonts w:ascii="Times New Roman" w:eastAsia="等线" w:hAnsi="Times New Roman" w:cs="Times New Roman"/>
          <w:bCs/>
          <w:kern w:val="0"/>
          <w:sz w:val="22"/>
          <w:szCs w:val="22"/>
          <w:shd w:val="clear" w:color="auto" w:fill="FFFFFF"/>
        </w:rPr>
      </w:pPr>
    </w:p>
    <w:p w:rsidR="00A70BE0" w:rsidRPr="00A70BE0" w:rsidRDefault="00A70BE0" w:rsidP="00A70BE0">
      <w:pPr>
        <w:autoSpaceDE w:val="0"/>
        <w:adjustRightInd w:val="0"/>
        <w:snapToGrid w:val="0"/>
        <w:spacing w:line="360" w:lineRule="auto"/>
        <w:rPr>
          <w:rFonts w:ascii="Times New Roman" w:eastAsia="等线" w:hAnsi="Times New Roman" w:cs="Times New Roman"/>
          <w:bCs/>
          <w:kern w:val="0"/>
          <w:sz w:val="22"/>
          <w:szCs w:val="22"/>
          <w:shd w:val="clear" w:color="auto" w:fill="FFFFFF"/>
        </w:rPr>
        <w:sectPr w:rsidR="00A70BE0" w:rsidRPr="00A70BE0" w:rsidSect="00737C1B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A70BE0" w:rsidRPr="00A70BE0" w:rsidRDefault="00130172" w:rsidP="00A70BE0">
      <w:pPr>
        <w:autoSpaceDE w:val="0"/>
        <w:adjustRightInd w:val="0"/>
        <w:snapToGrid w:val="0"/>
        <w:spacing w:line="360" w:lineRule="auto"/>
        <w:rPr>
          <w:rFonts w:ascii="Times New Roman" w:eastAsia="等线" w:hAnsi="Times New Roman" w:cs="Times New Roman"/>
          <w:bCs/>
          <w:kern w:val="0"/>
          <w:sz w:val="22"/>
          <w:szCs w:val="22"/>
          <w:shd w:val="clear" w:color="auto" w:fill="FFFFFF"/>
        </w:rPr>
      </w:pPr>
      <w:r w:rsidRPr="00130172">
        <w:rPr>
          <w:rFonts w:ascii="Times New Roman" w:eastAsia="等线" w:hAnsi="Times New Roman" w:cs="Times New Roman"/>
          <w:bCs/>
          <w:noProof/>
          <w:kern w:val="0"/>
          <w:sz w:val="22"/>
          <w:szCs w:val="22"/>
          <w:shd w:val="clear" w:color="auto" w:fill="FFFFFF"/>
        </w:rPr>
        <w:lastRenderedPageBreak/>
        <w:drawing>
          <wp:inline distT="0" distB="0" distL="0" distR="0">
            <wp:extent cx="4633708" cy="3353791"/>
            <wp:effectExtent l="0" t="0" r="0" b="0"/>
            <wp:docPr id="2" name="图片 2" descr="C:\Users\VS\Desktop\6368 to prod-2\6368 Supplementary Fig.S1 04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\Desktop\6368 to prod-2\6368 Supplementary Fig.S1 0410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116" cy="335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BE0" w:rsidRPr="00A70BE0" w:rsidRDefault="00A70BE0" w:rsidP="00A70BE0">
      <w:pPr>
        <w:autoSpaceDE w:val="0"/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</w:pPr>
      <w:r w:rsidRPr="00A70BE0">
        <w:rPr>
          <w:rFonts w:ascii="Times New Roman" w:eastAsia="宋体" w:hAnsi="Times New Roman" w:cs="Times New Roman"/>
          <w:b/>
          <w:sz w:val="22"/>
          <w:szCs w:val="22"/>
          <w:shd w:val="clear" w:color="auto" w:fill="FFFFFF"/>
        </w:rPr>
        <w:t>Supplementary Fig.S1</w:t>
      </w: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 xml:space="preserve"> The </w:t>
      </w:r>
      <w:r w:rsidR="00D41BF2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h</w:t>
      </w:r>
      <w:r w:rsidR="00D41BF2" w:rsidRPr="00D41BF2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istopathological</w:t>
      </w: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 xml:space="preserve"> </w:t>
      </w:r>
      <w:r w:rsidR="00D41BF2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 xml:space="preserve">assay </w:t>
      </w: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 xml:space="preserve">of oral mucosa, lingual tonsils, pharyngeal tonsils, and palatal tonsils </w:t>
      </w:r>
      <w:r w:rsidR="00D41BF2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from</w:t>
      </w: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 xml:space="preserve"> Syrian hamsters </w:t>
      </w:r>
      <w:r w:rsidR="00D41BF2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 xml:space="preserve">at </w:t>
      </w: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day</w:t>
      </w:r>
      <w:r w:rsidR="00D41BF2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 xml:space="preserve"> 7</w:t>
      </w: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 xml:space="preserve"> post-CVB3 infection.</w:t>
      </w:r>
    </w:p>
    <w:p w:rsidR="00A70BE0" w:rsidRPr="00A70BE0" w:rsidRDefault="00A70BE0" w:rsidP="00A70BE0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A70BE0" w:rsidRPr="00A70BE0" w:rsidRDefault="00130172" w:rsidP="00A70BE0">
      <w:pPr>
        <w:autoSpaceDE w:val="0"/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</w:pPr>
      <w:r w:rsidRPr="00130172">
        <w:rPr>
          <w:rFonts w:ascii="Times New Roman" w:eastAsia="宋体" w:hAnsi="Times New Roman" w:cs="Times New Roman"/>
          <w:noProof/>
          <w:sz w:val="22"/>
          <w:szCs w:val="22"/>
          <w:shd w:val="clear" w:color="auto" w:fill="FFFFFF"/>
        </w:rPr>
        <w:drawing>
          <wp:inline distT="0" distB="0" distL="0" distR="0">
            <wp:extent cx="6188710" cy="2181459"/>
            <wp:effectExtent l="0" t="0" r="2540" b="9525"/>
            <wp:docPr id="3" name="图片 3" descr="C:\Users\VS\Desktop\6368 to prod-2\6368 Supplementary Fig.S2_04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S\Desktop\6368 to prod-2\6368 Supplementary Fig.S2_0410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18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BE0" w:rsidRPr="00A70BE0" w:rsidRDefault="00A70BE0" w:rsidP="00A70BE0">
      <w:pPr>
        <w:autoSpaceDE w:val="0"/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</w:pPr>
      <w:r w:rsidRPr="00A70BE0">
        <w:rPr>
          <w:rFonts w:ascii="Times New Roman" w:eastAsia="宋体" w:hAnsi="Times New Roman" w:cs="Times New Roman"/>
          <w:b/>
          <w:sz w:val="22"/>
          <w:szCs w:val="22"/>
          <w:shd w:val="clear" w:color="auto" w:fill="FFFFFF"/>
        </w:rPr>
        <w:t>Supplementary Fig.S2</w:t>
      </w: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 xml:space="preserve"> The viral nucleic acid profiles of 18 tissues, including those from 7 d.p.i, brain, intestine, and others, were examined. The findings revealed that all tested tissues contained a certain number of viral copies, indirectly indicating the presence of CVB3 infection in these tissues. </w:t>
      </w:r>
      <w:r w:rsidRPr="007F027F">
        <w:rPr>
          <w:rFonts w:ascii="Times New Roman" w:eastAsia="宋体" w:hAnsi="Times New Roman" w:cs="Times New Roman"/>
          <w:b/>
          <w:bCs/>
          <w:sz w:val="22"/>
          <w:szCs w:val="22"/>
          <w:shd w:val="clear" w:color="auto" w:fill="FFFFFF"/>
        </w:rPr>
        <w:t>A</w:t>
      </w:r>
      <w:r w:rsidR="00972C1D">
        <w:rPr>
          <w:rFonts w:ascii="Times New Roman" w:eastAsia="宋体" w:hAnsi="Times New Roman" w:cs="Times New Roman"/>
          <w:b/>
          <w:bCs/>
          <w:sz w:val="22"/>
          <w:szCs w:val="22"/>
          <w:shd w:val="clear" w:color="auto" w:fill="FFFFFF"/>
        </w:rPr>
        <w:t xml:space="preserve"> </w:t>
      </w:r>
      <w:r w:rsidR="00972C1D">
        <w:rPr>
          <w:rFonts w:ascii="Times New Roman" w:eastAsia="宋体" w:hAnsi="Times New Roman" w:cs="Times New Roman"/>
          <w:bCs/>
          <w:sz w:val="22"/>
          <w:szCs w:val="22"/>
          <w:shd w:val="clear" w:color="auto" w:fill="FFFFFF"/>
        </w:rPr>
        <w:t>V</w:t>
      </w:r>
      <w:r w:rsidR="00972C1D"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iral load</w:t>
      </w:r>
      <w:r w:rsidR="00972C1D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 xml:space="preserve"> in </w:t>
      </w:r>
      <w:r w:rsidR="00972C1D"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tissue</w:t>
      </w:r>
      <w:r w:rsidR="00972C1D" w:rsidRPr="00972C1D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 xml:space="preserve"> </w:t>
      </w:r>
      <w:r w:rsidR="00972C1D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 xml:space="preserve">from </w:t>
      </w:r>
      <w:r w:rsidR="00972C1D" w:rsidRPr="00972C1D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 xml:space="preserve">intraperitoneal </w:t>
      </w:r>
      <w:r w:rsidR="00972C1D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infection (</w:t>
      </w: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IG</w:t>
      </w:r>
      <w:r w:rsidR="00972C1D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)</w:t>
      </w: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 xml:space="preserve"> group;</w:t>
      </w:r>
      <w:r w:rsidRPr="007F027F">
        <w:rPr>
          <w:rFonts w:ascii="Times New Roman" w:eastAsia="宋体" w:hAnsi="Times New Roman" w:cs="Times New Roman"/>
          <w:b/>
          <w:sz w:val="22"/>
          <w:szCs w:val="22"/>
          <w:shd w:val="clear" w:color="auto" w:fill="FFFFFF"/>
        </w:rPr>
        <w:t xml:space="preserve"> </w:t>
      </w:r>
      <w:r w:rsidRPr="007F027F">
        <w:rPr>
          <w:rFonts w:ascii="Times New Roman" w:eastAsia="宋体" w:hAnsi="Times New Roman" w:cs="Times New Roman"/>
          <w:b/>
          <w:bCs/>
          <w:sz w:val="22"/>
          <w:szCs w:val="22"/>
          <w:shd w:val="clear" w:color="auto" w:fill="FFFFFF"/>
        </w:rPr>
        <w:t>B</w:t>
      </w: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 xml:space="preserve"> </w:t>
      </w:r>
      <w:r w:rsidR="00972C1D">
        <w:rPr>
          <w:rFonts w:ascii="Times New Roman" w:eastAsia="宋体" w:hAnsi="Times New Roman" w:cs="Times New Roman"/>
          <w:bCs/>
          <w:sz w:val="22"/>
          <w:szCs w:val="22"/>
          <w:shd w:val="clear" w:color="auto" w:fill="FFFFFF"/>
        </w:rPr>
        <w:t>V</w:t>
      </w:r>
      <w:r w:rsidR="00972C1D"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iral load</w:t>
      </w:r>
      <w:r w:rsidR="00972C1D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 xml:space="preserve"> in </w:t>
      </w:r>
      <w:r w:rsidR="00972C1D"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tissue</w:t>
      </w:r>
      <w:r w:rsidR="00972C1D" w:rsidRPr="00972C1D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 xml:space="preserve"> </w:t>
      </w:r>
      <w:r w:rsidR="00972C1D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 xml:space="preserve">from </w:t>
      </w:r>
      <w:r w:rsidR="00972C1D" w:rsidRPr="00972C1D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 xml:space="preserve">nasal </w:t>
      </w:r>
      <w:r w:rsidR="00972C1D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drip infection (</w:t>
      </w: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NG</w:t>
      </w:r>
      <w:r w:rsidR="00972C1D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)</w:t>
      </w: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 xml:space="preserve"> group.</w:t>
      </w:r>
    </w:p>
    <w:p w:rsidR="00A70BE0" w:rsidRPr="00A70BE0" w:rsidRDefault="00A70BE0" w:rsidP="00A70BE0">
      <w:pPr>
        <w:autoSpaceDE w:val="0"/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</w:pPr>
    </w:p>
    <w:p w:rsidR="00A70BE0" w:rsidRPr="00A70BE0" w:rsidRDefault="00A70BE0" w:rsidP="00A70BE0">
      <w:pPr>
        <w:autoSpaceDE w:val="0"/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</w:pPr>
      <w:r w:rsidRPr="00A70BE0">
        <w:rPr>
          <w:rFonts w:ascii="Times New Roman" w:eastAsia="宋体" w:hAnsi="Times New Roman" w:cs="Times New Roman"/>
          <w:b/>
          <w:bCs/>
          <w:sz w:val="22"/>
          <w:szCs w:val="22"/>
          <w:shd w:val="clear" w:color="auto" w:fill="FFFFFF"/>
        </w:rPr>
        <w:t>Supplementary Video. S1</w:t>
      </w:r>
      <w:r w:rsidRPr="00A70BE0">
        <w:rPr>
          <w:rFonts w:ascii="Times New Roman" w:eastAsia="宋体" w:hAnsi="Times New Roman" w:cs="Times New Roman"/>
          <w:bCs/>
          <w:sz w:val="22"/>
          <w:szCs w:val="22"/>
          <w:shd w:val="clear" w:color="auto" w:fill="FFFFFF"/>
        </w:rPr>
        <w:t xml:space="preserve"> </w:t>
      </w: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Control group: Syrian hamsters untreated.</w:t>
      </w:r>
    </w:p>
    <w:p w:rsidR="00A70BE0" w:rsidRPr="00A70BE0" w:rsidRDefault="00A70BE0" w:rsidP="00A70BE0">
      <w:pPr>
        <w:autoSpaceDE w:val="0"/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</w:pPr>
      <w:r w:rsidRPr="00A70BE0">
        <w:rPr>
          <w:rFonts w:ascii="Times New Roman" w:eastAsia="宋体" w:hAnsi="Times New Roman" w:cs="Times New Roman"/>
          <w:b/>
          <w:bCs/>
          <w:sz w:val="22"/>
          <w:szCs w:val="22"/>
          <w:shd w:val="clear" w:color="auto" w:fill="FFFFFF"/>
        </w:rPr>
        <w:t>Supplementary Video. S2</w:t>
      </w:r>
      <w:r w:rsidRPr="00A70BE0">
        <w:rPr>
          <w:rFonts w:ascii="Times New Roman" w:eastAsia="宋体" w:hAnsi="Times New Roman" w:cs="Times New Roman"/>
          <w:bCs/>
          <w:sz w:val="22"/>
          <w:szCs w:val="22"/>
          <w:shd w:val="clear" w:color="auto" w:fill="FFFFFF"/>
        </w:rPr>
        <w:t xml:space="preserve"> </w:t>
      </w: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Intraperitoneal group: Clinical signs of Syrian hamsters infected with 10</w:t>
      </w: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  <w:vertAlign w:val="superscript"/>
        </w:rPr>
        <w:t>5.75</w:t>
      </w: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 xml:space="preserve"> CCID</w:t>
      </w: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  <w:vertAlign w:val="subscript"/>
        </w:rPr>
        <w:t>50</w:t>
      </w: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 CVB3 via intraperitoneal injection.</w:t>
      </w:r>
    </w:p>
    <w:p w:rsidR="004337B8" w:rsidRDefault="00A70BE0" w:rsidP="00A70BE0">
      <w:pPr>
        <w:autoSpaceDE w:val="0"/>
        <w:adjustRightInd w:val="0"/>
        <w:snapToGrid w:val="0"/>
        <w:spacing w:line="360" w:lineRule="auto"/>
        <w:jc w:val="left"/>
        <w:rPr>
          <w:rStyle w:val="15"/>
          <w:rFonts w:eastAsia="宋体"/>
          <w:color w:val="101214"/>
          <w:sz w:val="22"/>
          <w:szCs w:val="22"/>
          <w:shd w:val="clear" w:color="auto" w:fill="FFFFFF"/>
          <w:lang w:bidi="ar"/>
        </w:rPr>
      </w:pPr>
      <w:r w:rsidRPr="00A70BE0">
        <w:rPr>
          <w:rFonts w:ascii="Times New Roman" w:eastAsia="宋体" w:hAnsi="Times New Roman" w:cs="Times New Roman"/>
          <w:b/>
          <w:bCs/>
          <w:sz w:val="22"/>
          <w:szCs w:val="22"/>
          <w:shd w:val="clear" w:color="auto" w:fill="FFFFFF"/>
        </w:rPr>
        <w:t xml:space="preserve">Supplementary Video. S3 </w:t>
      </w: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Nasal drop group: Clinical signs of Syrian hamsters infected with 10</w:t>
      </w: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  <w:vertAlign w:val="superscript"/>
        </w:rPr>
        <w:t xml:space="preserve">5.75 </w:t>
      </w: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CCID</w:t>
      </w: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  <w:vertAlign w:val="subscript"/>
        </w:rPr>
        <w:t>50 </w:t>
      </w:r>
      <w:r w:rsidRPr="00A70BE0">
        <w:rPr>
          <w:rFonts w:ascii="Times New Roman" w:eastAsia="宋体" w:hAnsi="Times New Roman" w:cs="Times New Roman"/>
          <w:sz w:val="22"/>
          <w:szCs w:val="22"/>
          <w:shd w:val="clear" w:color="auto" w:fill="FFFFFF"/>
        </w:rPr>
        <w:t>CVB3 via nasal drip.</w:t>
      </w:r>
    </w:p>
    <w:sectPr w:rsidR="004337B8" w:rsidSect="00473060">
      <w:footerReference w:type="default" r:id="rId9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3409" w:rsidRDefault="005D3409">
      <w:r>
        <w:separator/>
      </w:r>
    </w:p>
  </w:endnote>
  <w:endnote w:type="continuationSeparator" w:id="0">
    <w:p w:rsidR="005D3409" w:rsidRDefault="005D3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37B8" w:rsidRDefault="00B848CE">
    <w:pPr>
      <w:pStyle w:val="a5"/>
      <w:tabs>
        <w:tab w:val="clear" w:pos="4153"/>
        <w:tab w:val="center" w:pos="487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337B8" w:rsidRDefault="00B848CE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840A6F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:rsidR="004337B8" w:rsidRDefault="00B848CE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840A6F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3409" w:rsidRDefault="005D3409">
      <w:r>
        <w:separator/>
      </w:r>
    </w:p>
  </w:footnote>
  <w:footnote w:type="continuationSeparator" w:id="0">
    <w:p w:rsidR="005D3409" w:rsidRDefault="005D34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5ZWNkMzFlMWRmZDY3OTI2ZjY5YzM3MjNhNDEyNWEifQ=="/>
    <w:docVar w:name="EN.Layout" w:val="&lt;ENLayout&gt;&lt;Style&gt;Virologica VS2022(1)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</w:docVars>
  <w:rsids>
    <w:rsidRoot w:val="4C6178AA"/>
    <w:rsid w:val="0004191A"/>
    <w:rsid w:val="00053692"/>
    <w:rsid w:val="000553D9"/>
    <w:rsid w:val="00094BE6"/>
    <w:rsid w:val="000A3173"/>
    <w:rsid w:val="000A7147"/>
    <w:rsid w:val="000C3642"/>
    <w:rsid w:val="000D39A1"/>
    <w:rsid w:val="000D6A2E"/>
    <w:rsid w:val="000D79EA"/>
    <w:rsid w:val="00107A72"/>
    <w:rsid w:val="001145F4"/>
    <w:rsid w:val="00130172"/>
    <w:rsid w:val="0017536E"/>
    <w:rsid w:val="00183E99"/>
    <w:rsid w:val="001A50AD"/>
    <w:rsid w:val="0020604B"/>
    <w:rsid w:val="002061B4"/>
    <w:rsid w:val="002214E6"/>
    <w:rsid w:val="0022199C"/>
    <w:rsid w:val="00226D96"/>
    <w:rsid w:val="00231C2D"/>
    <w:rsid w:val="002454CC"/>
    <w:rsid w:val="00263676"/>
    <w:rsid w:val="00271DC7"/>
    <w:rsid w:val="00271F4D"/>
    <w:rsid w:val="002F74A6"/>
    <w:rsid w:val="00363E3D"/>
    <w:rsid w:val="003A3C55"/>
    <w:rsid w:val="003B50E0"/>
    <w:rsid w:val="003B64B1"/>
    <w:rsid w:val="004337B8"/>
    <w:rsid w:val="004535EA"/>
    <w:rsid w:val="00473060"/>
    <w:rsid w:val="00493EA3"/>
    <w:rsid w:val="004B7772"/>
    <w:rsid w:val="004D3CD5"/>
    <w:rsid w:val="004E0044"/>
    <w:rsid w:val="00533855"/>
    <w:rsid w:val="0054444D"/>
    <w:rsid w:val="00593991"/>
    <w:rsid w:val="005B2424"/>
    <w:rsid w:val="005D3409"/>
    <w:rsid w:val="005D55AD"/>
    <w:rsid w:val="005D7E2B"/>
    <w:rsid w:val="00612757"/>
    <w:rsid w:val="00617539"/>
    <w:rsid w:val="00627E6B"/>
    <w:rsid w:val="00641131"/>
    <w:rsid w:val="00646E11"/>
    <w:rsid w:val="00652B53"/>
    <w:rsid w:val="006827A2"/>
    <w:rsid w:val="00683A1E"/>
    <w:rsid w:val="006910B2"/>
    <w:rsid w:val="006A791B"/>
    <w:rsid w:val="006B62D0"/>
    <w:rsid w:val="006E6509"/>
    <w:rsid w:val="006F169F"/>
    <w:rsid w:val="006F4F40"/>
    <w:rsid w:val="007125DA"/>
    <w:rsid w:val="007C5FFE"/>
    <w:rsid w:val="007F027F"/>
    <w:rsid w:val="00814D43"/>
    <w:rsid w:val="00836BE7"/>
    <w:rsid w:val="00840A6F"/>
    <w:rsid w:val="00841D9C"/>
    <w:rsid w:val="00861466"/>
    <w:rsid w:val="00906570"/>
    <w:rsid w:val="00912FF5"/>
    <w:rsid w:val="0094452E"/>
    <w:rsid w:val="00967B16"/>
    <w:rsid w:val="00972C1D"/>
    <w:rsid w:val="00976E0A"/>
    <w:rsid w:val="009A1867"/>
    <w:rsid w:val="009A3039"/>
    <w:rsid w:val="009A6EE5"/>
    <w:rsid w:val="00A05B0B"/>
    <w:rsid w:val="00A124F1"/>
    <w:rsid w:val="00A21204"/>
    <w:rsid w:val="00A26C70"/>
    <w:rsid w:val="00A305F2"/>
    <w:rsid w:val="00A63253"/>
    <w:rsid w:val="00A70BE0"/>
    <w:rsid w:val="00A847BB"/>
    <w:rsid w:val="00A87262"/>
    <w:rsid w:val="00A97643"/>
    <w:rsid w:val="00AC4ADB"/>
    <w:rsid w:val="00B22980"/>
    <w:rsid w:val="00B453C9"/>
    <w:rsid w:val="00B70B20"/>
    <w:rsid w:val="00B7163B"/>
    <w:rsid w:val="00B762E7"/>
    <w:rsid w:val="00B848CE"/>
    <w:rsid w:val="00BA7B01"/>
    <w:rsid w:val="00BB4C1D"/>
    <w:rsid w:val="00BB7145"/>
    <w:rsid w:val="00BC126D"/>
    <w:rsid w:val="00BC7DE7"/>
    <w:rsid w:val="00BF69B2"/>
    <w:rsid w:val="00C15459"/>
    <w:rsid w:val="00C61055"/>
    <w:rsid w:val="00C85532"/>
    <w:rsid w:val="00CA2C64"/>
    <w:rsid w:val="00CF18A5"/>
    <w:rsid w:val="00D22EC9"/>
    <w:rsid w:val="00D30059"/>
    <w:rsid w:val="00D35F38"/>
    <w:rsid w:val="00D41BF2"/>
    <w:rsid w:val="00D438C5"/>
    <w:rsid w:val="00D932AE"/>
    <w:rsid w:val="00DA4CAE"/>
    <w:rsid w:val="00DE67DA"/>
    <w:rsid w:val="00E04861"/>
    <w:rsid w:val="00E57C93"/>
    <w:rsid w:val="00E6730B"/>
    <w:rsid w:val="00E87C28"/>
    <w:rsid w:val="00EA760C"/>
    <w:rsid w:val="00EC377B"/>
    <w:rsid w:val="00ED3A0B"/>
    <w:rsid w:val="00EE6010"/>
    <w:rsid w:val="00EF006E"/>
    <w:rsid w:val="00F23298"/>
    <w:rsid w:val="00F626BB"/>
    <w:rsid w:val="00FE11AF"/>
    <w:rsid w:val="01AD6D54"/>
    <w:rsid w:val="036315A7"/>
    <w:rsid w:val="04473600"/>
    <w:rsid w:val="08793FA4"/>
    <w:rsid w:val="08DE171A"/>
    <w:rsid w:val="09345CA4"/>
    <w:rsid w:val="09EF2626"/>
    <w:rsid w:val="0C03742A"/>
    <w:rsid w:val="0C5E598A"/>
    <w:rsid w:val="0CC03198"/>
    <w:rsid w:val="0CFC6A0F"/>
    <w:rsid w:val="0E286250"/>
    <w:rsid w:val="0EDC2F78"/>
    <w:rsid w:val="0F2029CB"/>
    <w:rsid w:val="0FCD5301"/>
    <w:rsid w:val="11692E07"/>
    <w:rsid w:val="11E26D17"/>
    <w:rsid w:val="132D60B6"/>
    <w:rsid w:val="1642618C"/>
    <w:rsid w:val="17E47BAC"/>
    <w:rsid w:val="194D1260"/>
    <w:rsid w:val="1B590390"/>
    <w:rsid w:val="1BD23C9F"/>
    <w:rsid w:val="1E182579"/>
    <w:rsid w:val="1EB81F9F"/>
    <w:rsid w:val="20B306E4"/>
    <w:rsid w:val="20F85F56"/>
    <w:rsid w:val="213E305D"/>
    <w:rsid w:val="21A460DD"/>
    <w:rsid w:val="21C407E0"/>
    <w:rsid w:val="21D818E3"/>
    <w:rsid w:val="22870E9C"/>
    <w:rsid w:val="2309444A"/>
    <w:rsid w:val="23EE3640"/>
    <w:rsid w:val="26AD333E"/>
    <w:rsid w:val="27764534"/>
    <w:rsid w:val="27E72880"/>
    <w:rsid w:val="28894FED"/>
    <w:rsid w:val="2999106F"/>
    <w:rsid w:val="29C76880"/>
    <w:rsid w:val="2A05336E"/>
    <w:rsid w:val="2B60711E"/>
    <w:rsid w:val="2BA03090"/>
    <w:rsid w:val="2BBA3470"/>
    <w:rsid w:val="2F122E10"/>
    <w:rsid w:val="30732D16"/>
    <w:rsid w:val="31413079"/>
    <w:rsid w:val="31815AF3"/>
    <w:rsid w:val="33206BCF"/>
    <w:rsid w:val="332C1A8F"/>
    <w:rsid w:val="34346E4D"/>
    <w:rsid w:val="35A712C1"/>
    <w:rsid w:val="3837515E"/>
    <w:rsid w:val="3A231F6D"/>
    <w:rsid w:val="3CDE3DFA"/>
    <w:rsid w:val="3F3B3785"/>
    <w:rsid w:val="40034013"/>
    <w:rsid w:val="40294AC6"/>
    <w:rsid w:val="429531AD"/>
    <w:rsid w:val="44B042CE"/>
    <w:rsid w:val="4A801524"/>
    <w:rsid w:val="4C6178AA"/>
    <w:rsid w:val="4F0771E0"/>
    <w:rsid w:val="4F781E8C"/>
    <w:rsid w:val="51840369"/>
    <w:rsid w:val="525671C2"/>
    <w:rsid w:val="52D25D57"/>
    <w:rsid w:val="52F932E4"/>
    <w:rsid w:val="53DF24DA"/>
    <w:rsid w:val="540A2D89"/>
    <w:rsid w:val="543A1E06"/>
    <w:rsid w:val="557F5713"/>
    <w:rsid w:val="57803FD4"/>
    <w:rsid w:val="5B525C87"/>
    <w:rsid w:val="5C747055"/>
    <w:rsid w:val="5D3779C5"/>
    <w:rsid w:val="5D63533C"/>
    <w:rsid w:val="5E512226"/>
    <w:rsid w:val="5F712465"/>
    <w:rsid w:val="60830691"/>
    <w:rsid w:val="6148251D"/>
    <w:rsid w:val="62AD1346"/>
    <w:rsid w:val="633778DF"/>
    <w:rsid w:val="63AB23D8"/>
    <w:rsid w:val="64405216"/>
    <w:rsid w:val="647629E6"/>
    <w:rsid w:val="64805613"/>
    <w:rsid w:val="68C23834"/>
    <w:rsid w:val="69362744"/>
    <w:rsid w:val="696372B1"/>
    <w:rsid w:val="69665D1A"/>
    <w:rsid w:val="6B435998"/>
    <w:rsid w:val="6BA61A05"/>
    <w:rsid w:val="6F3239AE"/>
    <w:rsid w:val="6F3C2C80"/>
    <w:rsid w:val="6F8F2BAE"/>
    <w:rsid w:val="6F963F3C"/>
    <w:rsid w:val="70E8381A"/>
    <w:rsid w:val="727367B7"/>
    <w:rsid w:val="75ED6880"/>
    <w:rsid w:val="762F0C47"/>
    <w:rsid w:val="769C24FB"/>
    <w:rsid w:val="77BE46A1"/>
    <w:rsid w:val="794E5888"/>
    <w:rsid w:val="7AE574D2"/>
    <w:rsid w:val="7D46224F"/>
    <w:rsid w:val="7DA43CC8"/>
    <w:rsid w:val="7E1A2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E1E9455-59F0-4958-AE33-9087D40E9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autoRedefine/>
    <w:qFormat/>
    <w:pPr>
      <w:widowControl/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autoRedefine/>
    <w:qFormat/>
    <w:pPr>
      <w:jc w:val="left"/>
    </w:pPr>
  </w:style>
  <w:style w:type="paragraph" w:styleId="a4">
    <w:name w:val="Balloon Text"/>
    <w:basedOn w:val="a"/>
    <w:link w:val="Char0"/>
    <w:autoRedefine/>
    <w:qFormat/>
    <w:rPr>
      <w:sz w:val="18"/>
      <w:szCs w:val="18"/>
    </w:rPr>
  </w:style>
  <w:style w:type="paragraph" w:styleId="a5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Normal (Web)"/>
    <w:basedOn w:val="a"/>
    <w:autoRedefine/>
    <w:qFormat/>
    <w:pPr>
      <w:spacing w:beforeAutospacing="1" w:afterAutospacing="1"/>
      <w:jc w:val="left"/>
    </w:pPr>
    <w:rPr>
      <w:rFonts w:ascii="等线" w:eastAsia="等线" w:hAnsi="等线" w:cs="Times New Roman" w:hint="eastAsia"/>
      <w:kern w:val="0"/>
      <w:sz w:val="24"/>
    </w:rPr>
  </w:style>
  <w:style w:type="paragraph" w:styleId="a8">
    <w:name w:val="annotation subject"/>
    <w:basedOn w:val="a3"/>
    <w:next w:val="a3"/>
    <w:link w:val="Char1"/>
    <w:autoRedefine/>
    <w:qFormat/>
    <w:rPr>
      <w:b/>
      <w:bCs/>
    </w:rPr>
  </w:style>
  <w:style w:type="table" w:styleId="a9">
    <w:name w:val="Table Grid"/>
    <w:basedOn w:val="a1"/>
    <w:autoRedefine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character" w:styleId="aa">
    <w:name w:val="FollowedHyperlink"/>
    <w:basedOn w:val="a0"/>
    <w:autoRedefine/>
    <w:semiHidden/>
    <w:unhideWhenUsed/>
    <w:qFormat/>
    <w:rPr>
      <w:color w:val="954F72" w:themeColor="followedHyperlink"/>
      <w:u w:val="single"/>
    </w:rPr>
  </w:style>
  <w:style w:type="character" w:styleId="ab">
    <w:name w:val="Emphasis"/>
    <w:basedOn w:val="a0"/>
    <w:autoRedefine/>
    <w:qFormat/>
    <w:rPr>
      <w:i/>
    </w:rPr>
  </w:style>
  <w:style w:type="character" w:styleId="ac">
    <w:name w:val="line number"/>
    <w:basedOn w:val="a0"/>
    <w:autoRedefine/>
    <w:qFormat/>
  </w:style>
  <w:style w:type="character" w:styleId="ad">
    <w:name w:val="Hyperlink"/>
    <w:basedOn w:val="a0"/>
    <w:autoRedefine/>
    <w:qFormat/>
    <w:rPr>
      <w:color w:val="0000FF"/>
      <w:u w:val="single"/>
    </w:rPr>
  </w:style>
  <w:style w:type="character" w:styleId="ae">
    <w:name w:val="annotation reference"/>
    <w:basedOn w:val="a0"/>
    <w:autoRedefine/>
    <w:qFormat/>
    <w:rPr>
      <w:sz w:val="21"/>
      <w:szCs w:val="21"/>
    </w:rPr>
  </w:style>
  <w:style w:type="character" w:customStyle="1" w:styleId="15">
    <w:name w:val="15"/>
    <w:basedOn w:val="a0"/>
    <w:autoRedefine/>
    <w:qFormat/>
    <w:rPr>
      <w:rFonts w:ascii="Times New Roman" w:hAnsi="Times New Roman" w:cs="Times New Roman" w:hint="default"/>
    </w:rPr>
  </w:style>
  <w:style w:type="character" w:customStyle="1" w:styleId="16">
    <w:name w:val="16"/>
    <w:basedOn w:val="a0"/>
    <w:autoRedefine/>
    <w:qFormat/>
    <w:rPr>
      <w:rFonts w:ascii="Times New Roman" w:hAnsi="Times New Roman" w:cs="Times New Roman" w:hint="default"/>
      <w:sz w:val="16"/>
      <w:szCs w:val="16"/>
    </w:rPr>
  </w:style>
  <w:style w:type="character" w:customStyle="1" w:styleId="10">
    <w:name w:val="10"/>
    <w:basedOn w:val="a0"/>
    <w:autoRedefine/>
    <w:qFormat/>
    <w:rPr>
      <w:rFonts w:ascii="Times New Roman" w:hAnsi="Times New Roman" w:cs="Times New Roman" w:hint="default"/>
    </w:rPr>
  </w:style>
  <w:style w:type="paragraph" w:customStyle="1" w:styleId="EndNoteBibliography">
    <w:name w:val="EndNote Bibliography"/>
    <w:basedOn w:val="a"/>
    <w:autoRedefine/>
    <w:hidden/>
    <w:qFormat/>
    <w:pPr>
      <w:widowControl/>
      <w:jc w:val="left"/>
    </w:pPr>
    <w:rPr>
      <w:rFonts w:ascii="等线" w:eastAsia="等线" w:hAnsi="等线" w:cs="Times New Roman" w:hint="eastAsia"/>
      <w:sz w:val="20"/>
      <w:szCs w:val="20"/>
    </w:rPr>
  </w:style>
  <w:style w:type="character" w:customStyle="1" w:styleId="Char0">
    <w:name w:val="批注框文本 Char"/>
    <w:basedOn w:val="a0"/>
    <w:link w:val="a4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文字 Char"/>
    <w:basedOn w:val="a0"/>
    <w:link w:val="a3"/>
    <w:autoRedefine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har1">
    <w:name w:val="批注主题 Char"/>
    <w:basedOn w:val="Char"/>
    <w:link w:val="a8"/>
    <w:autoRedefine/>
    <w:qFormat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customStyle="1" w:styleId="11">
    <w:name w:val="修订1"/>
    <w:autoRedefine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593</Words>
  <Characters>3385</Characters>
  <Application>Microsoft Office Word</Application>
  <DocSecurity>0</DocSecurity>
  <Lines>28</Lines>
  <Paragraphs>7</Paragraphs>
  <ScaleCrop>false</ScaleCrop>
  <Company>神州网信技术有限公司</Company>
  <LinksUpToDate>false</LinksUpToDate>
  <CharactersWithSpaces>3971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素琴*</dc:creator>
  <cp:lastModifiedBy>VS</cp:lastModifiedBy>
  <cp:revision>18</cp:revision>
  <dcterms:created xsi:type="dcterms:W3CDTF">2023-11-14T09:27:00Z</dcterms:created>
  <dcterms:modified xsi:type="dcterms:W3CDTF">2024-04-22T03:13:00Z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7CF2BE192667473592007DA1CFB33EDC_13</vt:lpwstr>
  </property>
</Properties>
</file>