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359" w:rsidRPr="00054359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2"/>
        </w:rPr>
      </w:pPr>
      <w:r w:rsidRPr="00054359">
        <w:rPr>
          <w:rFonts w:ascii="Times New Roman" w:hAnsi="Times New Roman" w:cs="Times New Roman" w:hint="eastAsia"/>
          <w:b/>
          <w:color w:val="000000" w:themeColor="text1"/>
          <w:sz w:val="28"/>
          <w:szCs w:val="22"/>
        </w:rPr>
        <w:t>Virologica</w:t>
      </w:r>
      <w:r w:rsidRPr="00054359">
        <w:rPr>
          <w:rFonts w:ascii="Times New Roman" w:hAnsi="Times New Roman" w:cs="Times New Roman"/>
          <w:b/>
          <w:color w:val="000000" w:themeColor="text1"/>
          <w:sz w:val="28"/>
          <w:szCs w:val="22"/>
        </w:rPr>
        <w:t xml:space="preserve"> Sinica</w:t>
      </w:r>
    </w:p>
    <w:p w:rsidR="00054359" w:rsidRPr="00F84246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2"/>
        </w:rPr>
      </w:pPr>
      <w:r w:rsidRPr="00F84246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Supplementary Materials</w:t>
      </w:r>
    </w:p>
    <w:p w:rsidR="00054359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</w:pPr>
      <w:r w:rsidRPr="00384674"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  <w:t>Nanobody targeting glycan cap con</w:t>
      </w:r>
      <w:bookmarkStart w:id="0" w:name="_GoBack"/>
      <w:bookmarkEnd w:id="0"/>
      <w:r w:rsidRPr="00384674"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  <w:t xml:space="preserve">fers broad </w:t>
      </w:r>
      <w:r w:rsidRPr="00524CCD"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  <w:t>ortho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  <w:t>e</w:t>
      </w:r>
      <w:r w:rsidRPr="00384674">
        <w:rPr>
          <w:rFonts w:ascii="Times New Roman" w:hAnsi="Times New Roman" w:cs="Times New Roman"/>
          <w:b/>
          <w:bCs/>
          <w:color w:val="000000" w:themeColor="text1"/>
          <w:sz w:val="28"/>
          <w:szCs w:val="22"/>
        </w:rPr>
        <w:t>bolavirus neutralization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 w:val="21"/>
          <w:szCs w:val="22"/>
        </w:rPr>
      </w:pP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Xinhui Zhang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Yi Liao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Xiuying Liu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Jingya Zhou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Peixiang Gao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Xuemeng Dong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Shengnan Pan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Huarui Duan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Junyu Liu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Xiaojing Chi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b, *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</w:rPr>
        <w:t>, Wei Yang</w:t>
      </w:r>
      <w:r w:rsidRPr="00384674">
        <w:rPr>
          <w:rFonts w:ascii="Times New Roman" w:eastAsia="宋体" w:hAnsi="Times New Roman" w:cs="Times New Roman"/>
          <w:color w:val="000000" w:themeColor="text1"/>
          <w:sz w:val="21"/>
          <w:szCs w:val="22"/>
          <w:vertAlign w:val="superscript"/>
        </w:rPr>
        <w:t>a, b, c, *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</w:rPr>
      </w:pPr>
      <w:r w:rsidRPr="00384674">
        <w:rPr>
          <w:rFonts w:ascii="Times New Roman" w:eastAsia="宋体" w:hAnsi="Times New Roman" w:cs="Times New Roman"/>
          <w:color w:val="000000" w:themeColor="text1"/>
          <w:szCs w:val="22"/>
          <w:vertAlign w:val="superscript"/>
        </w:rPr>
        <w:t>a</w:t>
      </w: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 xml:space="preserve"> Key Laboratory of Pathogen Infection Prevention and Control (Ministry of Education), National Institute of Pathogen Biology, Chinese Academy of Medical Sciences &amp; Peking Union Medical College, Beijing</w:t>
      </w:r>
      <w:r>
        <w:rPr>
          <w:rFonts w:ascii="Times New Roman" w:eastAsia="宋体" w:hAnsi="Times New Roman" w:cs="Times New Roman"/>
          <w:color w:val="000000" w:themeColor="text1"/>
          <w:szCs w:val="22"/>
        </w:rPr>
        <w:t xml:space="preserve"> </w:t>
      </w:r>
      <w:r w:rsidRPr="00AA0AF7">
        <w:rPr>
          <w:rFonts w:ascii="Times New Roman" w:eastAsia="宋体" w:hAnsi="Times New Roman" w:cs="Times New Roman"/>
          <w:color w:val="000000" w:themeColor="text1"/>
          <w:szCs w:val="22"/>
        </w:rPr>
        <w:t>102629</w:t>
      </w: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>, China.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</w:rPr>
      </w:pPr>
      <w:r w:rsidRPr="00384674">
        <w:rPr>
          <w:rFonts w:ascii="Times New Roman" w:eastAsia="宋体" w:hAnsi="Times New Roman" w:cs="Times New Roman"/>
          <w:color w:val="000000" w:themeColor="text1"/>
          <w:szCs w:val="22"/>
          <w:vertAlign w:val="superscript"/>
        </w:rPr>
        <w:t>b</w:t>
      </w: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 xml:space="preserve"> NHC Key Laboratory of Systems Biology of Pathogens, National Institute of Pathogen Biology, Chinese Academy of Medical Sciences &amp; Peking Union Medical College, Beijing</w:t>
      </w:r>
      <w:r>
        <w:rPr>
          <w:rFonts w:ascii="Times New Roman" w:eastAsia="宋体" w:hAnsi="Times New Roman" w:cs="Times New Roman"/>
          <w:color w:val="000000" w:themeColor="text1"/>
          <w:szCs w:val="22"/>
        </w:rPr>
        <w:t xml:space="preserve"> </w:t>
      </w:r>
      <w:r w:rsidRPr="00AA0AF7">
        <w:rPr>
          <w:rFonts w:ascii="Times New Roman" w:eastAsia="宋体" w:hAnsi="Times New Roman" w:cs="Times New Roman"/>
          <w:color w:val="000000" w:themeColor="text1"/>
          <w:szCs w:val="22"/>
        </w:rPr>
        <w:t>102629</w:t>
      </w: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>, China.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  <w:r w:rsidRPr="00384674">
        <w:rPr>
          <w:rFonts w:ascii="Times New Roman" w:hAnsi="Times New Roman" w:cs="Times New Roman"/>
          <w:szCs w:val="22"/>
          <w:vertAlign w:val="superscript"/>
        </w:rPr>
        <w:t>c</w:t>
      </w:r>
      <w:r w:rsidRPr="00384674">
        <w:rPr>
          <w:rFonts w:ascii="Times New Roman" w:hAnsi="Times New Roman" w:cs="Times New Roman"/>
          <w:szCs w:val="22"/>
        </w:rPr>
        <w:t xml:space="preserve"> State Key Laboratory of Respiratory Health and Multimorbidity, Chinese Academy of Medical Sciences &amp; Peking Union Medical College, Beijing</w:t>
      </w:r>
      <w:r>
        <w:rPr>
          <w:rFonts w:ascii="Times New Roman" w:hAnsi="Times New Roman" w:cs="Times New Roman"/>
          <w:szCs w:val="22"/>
        </w:rPr>
        <w:t xml:space="preserve"> </w:t>
      </w:r>
      <w:r w:rsidRPr="0051096B">
        <w:rPr>
          <w:rFonts w:ascii="Times New Roman" w:hAnsi="Times New Roman" w:cs="Times New Roman"/>
          <w:szCs w:val="22"/>
        </w:rPr>
        <w:t>100730</w:t>
      </w:r>
      <w:r w:rsidRPr="00384674">
        <w:rPr>
          <w:rFonts w:ascii="Times New Roman" w:hAnsi="Times New Roman" w:cs="Times New Roman"/>
          <w:szCs w:val="22"/>
        </w:rPr>
        <w:t>, China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  <w:vertAlign w:val="superscript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</w:rPr>
      </w:pPr>
      <w:r w:rsidRPr="00384674">
        <w:rPr>
          <w:rFonts w:ascii="Times New Roman" w:eastAsia="宋体" w:hAnsi="Times New Roman" w:cs="Times New Roman"/>
          <w:color w:val="000000" w:themeColor="text1"/>
          <w:szCs w:val="22"/>
          <w:vertAlign w:val="superscript"/>
        </w:rPr>
        <w:t>*</w:t>
      </w: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>Corresponding authors: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</w:rPr>
      </w:pPr>
      <w:bookmarkStart w:id="1" w:name="OLE_LINK5"/>
      <w:r w:rsidRPr="00384674">
        <w:rPr>
          <w:rFonts w:ascii="Times New Roman" w:eastAsia="宋体" w:hAnsi="Times New Roman" w:cs="Times New Roman"/>
          <w:szCs w:val="22"/>
        </w:rPr>
        <w:t xml:space="preserve">Email addresses: </w:t>
      </w:r>
      <w:r w:rsidRPr="00AA0AF7">
        <w:rPr>
          <w:rFonts w:ascii="Times New Roman" w:eastAsia="宋体" w:hAnsi="Times New Roman" w:cs="Times New Roman"/>
          <w:szCs w:val="22"/>
        </w:rPr>
        <w:t>chixiaojing@ipbcams.ac.cn</w:t>
      </w:r>
      <w:bookmarkEnd w:id="1"/>
      <w:r>
        <w:rPr>
          <w:rFonts w:ascii="Times New Roman" w:eastAsia="宋体" w:hAnsi="Times New Roman" w:cs="Times New Roman"/>
          <w:szCs w:val="22"/>
        </w:rPr>
        <w:t xml:space="preserve"> </w:t>
      </w: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 xml:space="preserve">(X. Chi), </w:t>
      </w:r>
      <w:r w:rsidRPr="00384674">
        <w:rPr>
          <w:rFonts w:ascii="Times New Roman" w:eastAsia="宋体" w:hAnsi="Times New Roman" w:cs="Times New Roman"/>
          <w:szCs w:val="22"/>
        </w:rPr>
        <w:t>wyang@ipb.pumc.edu.cn</w:t>
      </w: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 xml:space="preserve"> (W. Yang),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Cs w:val="22"/>
        </w:rPr>
      </w:pPr>
      <w:r w:rsidRPr="00384674">
        <w:rPr>
          <w:rFonts w:ascii="Times New Roman" w:eastAsia="宋体" w:hAnsi="Times New Roman" w:cs="Times New Roman"/>
          <w:color w:val="000000" w:themeColor="text1"/>
          <w:szCs w:val="22"/>
        </w:rPr>
        <w:t>ORCID: 0000-0002-1298-0611 (X. Chi); 0000-0003-0162-4221 (W. Yang)</w:t>
      </w:r>
    </w:p>
    <w:p w:rsidR="00054359" w:rsidRPr="00384674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384674">
        <w:rPr>
          <w:rFonts w:ascii="Times New Roman" w:hAnsi="Times New Roman" w:cs="Times New Roman"/>
          <w:color w:val="000000" w:themeColor="text1"/>
          <w:szCs w:val="22"/>
        </w:rPr>
        <w:br w:type="page"/>
      </w:r>
    </w:p>
    <w:p w:rsidR="00054359" w:rsidRPr="00384674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Cs w:val="22"/>
        </w:rPr>
      </w:pPr>
      <w:r w:rsidRPr="00C00447">
        <w:rPr>
          <w:rFonts w:ascii="Times New Roman" w:hAnsi="Times New Roman" w:cs="Times New Roman"/>
          <w:b/>
          <w:noProof/>
          <w:color w:val="000000" w:themeColor="text1"/>
          <w:szCs w:val="22"/>
        </w:rPr>
        <w:lastRenderedPageBreak/>
        <w:drawing>
          <wp:inline distT="0" distB="0" distL="0" distR="0" wp14:anchorId="3ACDD4E1" wp14:editId="056C86E5">
            <wp:extent cx="4852035" cy="6448425"/>
            <wp:effectExtent l="0" t="0" r="5715" b="9525"/>
            <wp:docPr id="7" name="图片 7" descr="E:\VS 稿件\2026 publication\7163-\7163 R3\7163 to prod\7163-Fig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VS 稿件\2026 publication\7163-\7163 R3\7163 to prod\7163-Fig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384674">
        <w:rPr>
          <w:rFonts w:ascii="Times New Roman" w:hAnsi="Times New Roman" w:cs="Times New Roman"/>
          <w:b/>
          <w:color w:val="000000" w:themeColor="text1"/>
          <w:szCs w:val="22"/>
        </w:rPr>
        <w:t>Fig. S1</w:t>
      </w:r>
      <w:r w:rsidRPr="00384674">
        <w:rPr>
          <w:rFonts w:ascii="Times New Roman" w:hAnsi="Times New Roman" w:cs="Times New Roman"/>
          <w:color w:val="000000" w:themeColor="text1"/>
          <w:szCs w:val="22"/>
        </w:rPr>
        <w:t xml:space="preserve">. Screening and purification of anti-BDBV GP1 nanobodies. </w:t>
      </w:r>
      <w:r w:rsidRPr="00384674">
        <w:rPr>
          <w:rFonts w:ascii="Times New Roman" w:hAnsi="Times New Roman" w:cs="Times New Roman"/>
          <w:b/>
          <w:color w:val="000000" w:themeColor="text1"/>
          <w:szCs w:val="22"/>
        </w:rPr>
        <w:t>A</w:t>
      </w:r>
      <w:r w:rsidRPr="00384674">
        <w:rPr>
          <w:rFonts w:ascii="Times New Roman" w:hAnsi="Times New Roman" w:cs="Times New Roman"/>
          <w:color w:val="000000" w:themeColor="text1"/>
          <w:szCs w:val="22"/>
        </w:rPr>
        <w:t xml:space="preserve"> Phylogenetic tree showing the sequence clustering of 15 nanobodies enriched after four rounds of phage display screening, illustrating their sequence diversity and enrichment patterns. </w:t>
      </w:r>
      <w:r w:rsidRPr="00384674">
        <w:rPr>
          <w:rFonts w:ascii="Times New Roman" w:hAnsi="Times New Roman" w:cs="Times New Roman"/>
          <w:b/>
          <w:color w:val="000000" w:themeColor="text1"/>
          <w:szCs w:val="22"/>
        </w:rPr>
        <w:t>B</w:t>
      </w:r>
      <w:r w:rsidRPr="00384674">
        <w:rPr>
          <w:rFonts w:ascii="Times New Roman" w:hAnsi="Times New Roman" w:cs="Times New Roman"/>
          <w:color w:val="000000" w:themeColor="text1"/>
          <w:szCs w:val="22"/>
        </w:rPr>
        <w:t xml:space="preserve"> Non-reducing SDS-PAGE analysis of the 15 purified nanobodies (BDBV-Nb01 to BDBV-Nb15), confirming their expression and purity.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C00447">
        <w:rPr>
          <w:rFonts w:ascii="Times New Roman" w:hAnsi="Times New Roman" w:cs="Times New Roman"/>
          <w:b/>
          <w:noProof/>
          <w:szCs w:val="22"/>
        </w:rPr>
        <w:lastRenderedPageBreak/>
        <w:drawing>
          <wp:inline distT="0" distB="0" distL="0" distR="0" wp14:anchorId="2F7FB9C9" wp14:editId="52072F82">
            <wp:extent cx="5118100" cy="2927350"/>
            <wp:effectExtent l="0" t="0" r="6350" b="6350"/>
            <wp:docPr id="8" name="图片 8" descr="E:\VS 稿件\2026 publication\7163-\7163 R3\7163 to prod\7163-Fig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VS 稿件\2026 publication\7163-\7163 R3\7163 to prod\7163-Fig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  <w:r w:rsidRPr="00384674">
        <w:rPr>
          <w:rFonts w:ascii="Times New Roman" w:hAnsi="Times New Roman" w:cs="Times New Roman"/>
          <w:b/>
          <w:szCs w:val="22"/>
        </w:rPr>
        <w:t>Fig. S2.</w:t>
      </w:r>
      <w:r w:rsidRPr="00384674">
        <w:rPr>
          <w:rFonts w:ascii="Times New Roman" w:hAnsi="Times New Roman" w:cs="Times New Roman"/>
          <w:szCs w:val="22"/>
        </w:rPr>
        <w:t xml:space="preserve"> Comparison of AlphaFold3 (AF3)–predicted and experimentally determined structures of the ADI-15946–EBOV GP complex. The amino acid sequences of ADI-15946 and EBOV-GP were used as input for unconstrained AF3 structural docking. The predicted model (dark blue) was superimposed with the experimentally solved crystal structure from the Protein Data Bank (PDB ID: 6MAM).</w:t>
      </w:r>
      <w:r w:rsidRPr="00384674" w:rsidDel="00107331">
        <w:rPr>
          <w:rFonts w:ascii="Times New Roman" w:hAnsi="Times New Roman" w:cs="Times New Roman"/>
          <w:szCs w:val="22"/>
        </w:rPr>
        <w:t xml:space="preserve"> </w:t>
      </w:r>
      <w:r w:rsidRPr="00384674">
        <w:rPr>
          <w:rFonts w:ascii="Times New Roman" w:hAnsi="Times New Roman" w:cs="Times New Roman"/>
          <w:szCs w:val="22"/>
        </w:rPr>
        <w:t>This comparison illustrates the significant structural deviations and highlights the limitations of AF3 in accurately predicting antibody–GP interfaces without experimental constraints.</w:t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054359" w:rsidRPr="00384674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:rsidR="00054359" w:rsidRPr="00384674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:rsidR="00054359" w:rsidRPr="00384674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:rsidR="00054359" w:rsidRPr="00384674" w:rsidRDefault="00054359" w:rsidP="0005435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  <w:r w:rsidRPr="00384674" w:rsidDel="002976C7">
        <w:rPr>
          <w:rFonts w:ascii="Times New Roman" w:hAnsi="Times New Roman" w:cs="Times New Roman"/>
          <w:szCs w:val="22"/>
        </w:rPr>
        <w:t xml:space="preserve"> </w:t>
      </w:r>
      <w:r w:rsidRPr="00384674">
        <w:rPr>
          <w:rFonts w:ascii="Times New Roman" w:hAnsi="Times New Roman" w:cs="Times New Roman"/>
          <w:szCs w:val="22"/>
        </w:rPr>
        <w:br w:type="page"/>
      </w: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r w:rsidRPr="00384674">
        <w:rPr>
          <w:rFonts w:ascii="Times New Roman" w:hAnsi="Times New Roman" w:cs="Times New Roman"/>
          <w:b/>
          <w:bCs/>
          <w:szCs w:val="22"/>
        </w:rPr>
        <w:lastRenderedPageBreak/>
        <w:t>Table S1. Complementarity-determining region (CDR) sequences of selected nanobodies, defined according to IMGT numbering.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1426"/>
        <w:gridCol w:w="5769"/>
      </w:tblGrid>
      <w:tr w:rsidR="00054359" w:rsidRPr="00384674" w:rsidTr="00E5593E"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84674">
              <w:rPr>
                <w:rFonts w:ascii="Times New Roman" w:hAnsi="Times New Roman" w:cs="Times New Roman"/>
                <w:b/>
                <w:bCs/>
                <w:szCs w:val="22"/>
              </w:rPr>
              <w:t>Region</w:t>
            </w:r>
          </w:p>
        </w:tc>
        <w:tc>
          <w:tcPr>
            <w:tcW w:w="5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84674">
              <w:rPr>
                <w:rFonts w:ascii="Times New Roman" w:hAnsi="Times New Roman" w:cs="Times New Roman"/>
                <w:b/>
                <w:bCs/>
                <w:szCs w:val="22"/>
              </w:rPr>
              <w:t>Sequence</w:t>
            </w:r>
          </w:p>
        </w:tc>
      </w:tr>
      <w:tr w:rsidR="00054359" w:rsidRPr="00384674" w:rsidTr="00E5593E">
        <w:tc>
          <w:tcPr>
            <w:tcW w:w="1366" w:type="dxa"/>
            <w:vMerge w:val="restart"/>
            <w:tcBorders>
              <w:top w:val="single" w:sz="4" w:space="0" w:color="auto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BDBV-Nb01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FR1</w:t>
            </w:r>
          </w:p>
        </w:tc>
        <w:tc>
          <w:tcPr>
            <w:tcW w:w="5514" w:type="dxa"/>
            <w:tcBorders>
              <w:top w:val="single" w:sz="4" w:space="0" w:color="auto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QVQLVESGGGLVQAGGSLRLSCAAS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CDR1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GRIFPGI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FR2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MGWYRQAPGKERELVAA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CDR2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ITLGDST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FR3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YYADSVKGRFTISRDNAKNTVYLQMNSLKPEDTAVYYC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CDR3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AVSAFLVESREKSYDY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FR4</w:t>
            </w:r>
          </w:p>
        </w:tc>
        <w:tc>
          <w:tcPr>
            <w:tcW w:w="5514" w:type="dxa"/>
            <w:tcBorders>
              <w:top w:val="nil"/>
              <w:bottom w:val="single" w:sz="4" w:space="0" w:color="auto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WGQGTQVTVSS</w:t>
            </w:r>
          </w:p>
        </w:tc>
      </w:tr>
      <w:tr w:rsidR="00054359" w:rsidRPr="00384674" w:rsidTr="00E5593E">
        <w:tc>
          <w:tcPr>
            <w:tcW w:w="1366" w:type="dxa"/>
            <w:vMerge w:val="restart"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BDBV-Nb02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FR1</w:t>
            </w:r>
          </w:p>
        </w:tc>
        <w:tc>
          <w:tcPr>
            <w:tcW w:w="5514" w:type="dxa"/>
            <w:tcBorders>
              <w:top w:val="single" w:sz="4" w:space="0" w:color="auto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QVQLVESGGGLVQAGGSLRLSCAAS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CDR1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GFIFSING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FR2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MGWYRQAPGKERELVAS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CDR2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ISKGDST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FR3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NYADSVKGRFTISRDNAKNTVYLQMNSLKPEDTAVYYC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CDR3</w:t>
            </w:r>
          </w:p>
        </w:tc>
        <w:tc>
          <w:tcPr>
            <w:tcW w:w="5514" w:type="dxa"/>
            <w:tcBorders>
              <w:top w:val="nil"/>
              <w:bottom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AAQFWLVLYHTRSYDY</w:t>
            </w:r>
          </w:p>
        </w:tc>
      </w:tr>
      <w:tr w:rsidR="00054359" w:rsidRPr="00384674" w:rsidTr="00E5593E">
        <w:tc>
          <w:tcPr>
            <w:tcW w:w="1366" w:type="dxa"/>
            <w:vMerge/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6" w:type="dxa"/>
            <w:tcBorders>
              <w:top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FR4</w:t>
            </w:r>
          </w:p>
        </w:tc>
        <w:tc>
          <w:tcPr>
            <w:tcW w:w="5514" w:type="dxa"/>
            <w:tcBorders>
              <w:top w:val="nil"/>
            </w:tcBorders>
            <w:vAlign w:val="center"/>
          </w:tcPr>
          <w:p w:rsidR="00054359" w:rsidRPr="00384674" w:rsidRDefault="00054359" w:rsidP="00E5593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384674">
              <w:rPr>
                <w:rFonts w:ascii="Times New Roman" w:hAnsi="Times New Roman" w:cs="Times New Roman"/>
                <w:szCs w:val="22"/>
              </w:rPr>
              <w:t>WGQGTQVTVSS</w:t>
            </w:r>
          </w:p>
        </w:tc>
      </w:tr>
    </w:tbl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</w:p>
    <w:p w:rsidR="00054359" w:rsidRPr="00384674" w:rsidRDefault="00054359" w:rsidP="0005435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:rsidR="009C0E5B" w:rsidRPr="00054359" w:rsidRDefault="009C0E5B"/>
    <w:sectPr w:rsidR="009C0E5B" w:rsidRPr="00054359" w:rsidSect="0005435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C33" w:rsidRDefault="002F4C33" w:rsidP="00054359">
      <w:pPr>
        <w:spacing w:after="0" w:line="240" w:lineRule="auto"/>
      </w:pPr>
      <w:r>
        <w:separator/>
      </w:r>
    </w:p>
  </w:endnote>
  <w:endnote w:type="continuationSeparator" w:id="0">
    <w:p w:rsidR="002F4C33" w:rsidRDefault="002F4C33" w:rsidP="0005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C33" w:rsidRDefault="002F4C33" w:rsidP="00054359">
      <w:pPr>
        <w:spacing w:after="0" w:line="240" w:lineRule="auto"/>
      </w:pPr>
      <w:r>
        <w:separator/>
      </w:r>
    </w:p>
  </w:footnote>
  <w:footnote w:type="continuationSeparator" w:id="0">
    <w:p w:rsidR="002F4C33" w:rsidRDefault="002F4C33" w:rsidP="00054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05"/>
    <w:rsid w:val="00054359"/>
    <w:rsid w:val="002F4C33"/>
    <w:rsid w:val="009C0E5B"/>
    <w:rsid w:val="00C00205"/>
    <w:rsid w:val="00F8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263E17-2E9F-4E7E-A7E0-D015690A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359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4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0543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4359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054359"/>
    <w:rPr>
      <w:sz w:val="18"/>
      <w:szCs w:val="18"/>
    </w:rPr>
  </w:style>
  <w:style w:type="table" w:styleId="a5">
    <w:name w:val="Table Grid"/>
    <w:basedOn w:val="a1"/>
    <w:uiPriority w:val="59"/>
    <w:qFormat/>
    <w:rsid w:val="00054359"/>
    <w:rPr>
      <w:sz w:val="22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2026-03-31T09:24:00Z</dcterms:created>
  <dcterms:modified xsi:type="dcterms:W3CDTF">2026-03-31T09:28:00Z</dcterms:modified>
</cp:coreProperties>
</file>