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905" w:rsidRPr="00041353" w:rsidRDefault="00CC7905" w:rsidP="00CC7905">
      <w:pPr>
        <w:pStyle w:val="a6"/>
        <w:widowControl/>
        <w:rPr>
          <w:rFonts w:ascii="Times New Roman" w:eastAsia="Noto Sans SC" w:hAnsi="Times New Roman"/>
          <w:b/>
          <w:bCs/>
          <w:color w:val="000000"/>
          <w:sz w:val="27"/>
          <w:szCs w:val="27"/>
        </w:rPr>
      </w:pPr>
      <w:r w:rsidRPr="00041353">
        <w:rPr>
          <w:rFonts w:ascii="Times New Roman" w:eastAsia="Noto Sans SC" w:hAnsi="Times New Roman"/>
          <w:b/>
          <w:bCs/>
          <w:color w:val="000000"/>
          <w:sz w:val="27"/>
          <w:szCs w:val="27"/>
        </w:rPr>
        <w:t>Supplementary Materials</w:t>
      </w:r>
    </w:p>
    <w:p w:rsidR="00CC7905" w:rsidRPr="00A80D1E" w:rsidRDefault="00CC7905" w:rsidP="00CC7905">
      <w:pPr>
        <w:spacing w:line="360" w:lineRule="auto"/>
        <w:jc w:val="left"/>
        <w:rPr>
          <w:rFonts w:ascii="Times New Roman" w:hAnsi="Times New Roman" w:cs="Times New Roman"/>
          <w:b/>
          <w:bCs/>
          <w:color w:val="000000" w:themeColor="text1"/>
          <w:sz w:val="28"/>
          <w:szCs w:val="36"/>
        </w:rPr>
      </w:pPr>
      <w:r w:rsidRPr="00A80D1E">
        <w:rPr>
          <w:rFonts w:ascii="Times New Roman" w:hAnsi="Times New Roman" w:cs="Times New Roman"/>
          <w:b/>
          <w:bCs/>
          <w:color w:val="000000" w:themeColor="text1"/>
          <w:sz w:val="28"/>
          <w:szCs w:val="36"/>
        </w:rPr>
        <w:t>Generation of G9 genotype porcine rotavirus using reverse genetics system and its application for antiviral screen and vaccine development</w:t>
      </w:r>
    </w:p>
    <w:p w:rsidR="00CC7905" w:rsidRPr="00A80D1E" w:rsidRDefault="00CC7905" w:rsidP="00CC7905">
      <w:pPr>
        <w:spacing w:line="360" w:lineRule="auto"/>
        <w:jc w:val="left"/>
        <w:rPr>
          <w:rFonts w:ascii="Times New Roman" w:hAnsi="Times New Roman" w:cs="Times New Roman"/>
          <w:bCs/>
          <w:color w:val="000000" w:themeColor="text1"/>
          <w:sz w:val="24"/>
          <w:szCs w:val="28"/>
        </w:rPr>
      </w:pPr>
      <w:r w:rsidRPr="00A80D1E">
        <w:rPr>
          <w:rFonts w:ascii="Times New Roman" w:hAnsi="Times New Roman" w:cs="Times New Roman"/>
          <w:bCs/>
          <w:color w:val="000000" w:themeColor="text1"/>
          <w:sz w:val="24"/>
          <w:szCs w:val="28"/>
        </w:rPr>
        <w:t>Nan Han</w:t>
      </w:r>
      <w:r w:rsidRPr="00A80D1E">
        <w:rPr>
          <w:rFonts w:ascii="Times New Roman" w:hAnsi="Times New Roman" w:cs="Times New Roman"/>
          <w:bCs/>
          <w:color w:val="000000" w:themeColor="text1"/>
          <w:sz w:val="24"/>
          <w:szCs w:val="28"/>
          <w:vertAlign w:val="superscript"/>
        </w:rPr>
        <w:t>a,b,c,d,1</w:t>
      </w:r>
      <w:r w:rsidRPr="00A80D1E">
        <w:rPr>
          <w:rFonts w:ascii="Times New Roman" w:hAnsi="Times New Roman" w:cs="Times New Roman"/>
          <w:bCs/>
          <w:color w:val="000000" w:themeColor="text1"/>
          <w:sz w:val="24"/>
          <w:szCs w:val="28"/>
        </w:rPr>
        <w:t>, Ran Tao</w:t>
      </w:r>
      <w:r w:rsidRPr="00A80D1E">
        <w:rPr>
          <w:rFonts w:ascii="Times New Roman" w:hAnsi="Times New Roman" w:cs="Times New Roman"/>
          <w:bCs/>
          <w:color w:val="000000" w:themeColor="text1"/>
          <w:sz w:val="24"/>
          <w:szCs w:val="28"/>
          <w:vertAlign w:val="superscript"/>
        </w:rPr>
        <w:t>a,b,c,1</w:t>
      </w:r>
      <w:r w:rsidRPr="00A80D1E">
        <w:rPr>
          <w:rFonts w:ascii="Times New Roman" w:hAnsi="Times New Roman" w:cs="Times New Roman"/>
          <w:bCs/>
          <w:color w:val="000000" w:themeColor="text1"/>
          <w:sz w:val="24"/>
          <w:szCs w:val="28"/>
        </w:rPr>
        <w:t>, Xi Cheng</w:t>
      </w:r>
      <w:r w:rsidRPr="00A80D1E">
        <w:rPr>
          <w:rFonts w:ascii="Times New Roman" w:hAnsi="Times New Roman" w:cs="Times New Roman"/>
          <w:bCs/>
          <w:color w:val="000000" w:themeColor="text1"/>
          <w:sz w:val="24"/>
          <w:szCs w:val="28"/>
          <w:vertAlign w:val="superscript"/>
        </w:rPr>
        <w:t>a,b,c,e,1</w:t>
      </w:r>
      <w:r w:rsidRPr="00A80D1E">
        <w:rPr>
          <w:rFonts w:ascii="Times New Roman" w:hAnsi="Times New Roman" w:cs="Times New Roman"/>
          <w:bCs/>
          <w:color w:val="000000" w:themeColor="text1"/>
          <w:sz w:val="24"/>
          <w:szCs w:val="28"/>
        </w:rPr>
        <w:t>, Hui Deng</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Jianxin Wang</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Xianyu Bian</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Jinzhu Zhou</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Xuejiao Zhu</w:t>
      </w:r>
      <w:bookmarkStart w:id="0" w:name="OLE_LINK1"/>
      <w:r w:rsidRPr="00A80D1E">
        <w:rPr>
          <w:rFonts w:ascii="Times New Roman" w:hAnsi="Times New Roman" w:cs="Times New Roman"/>
          <w:bCs/>
          <w:color w:val="000000" w:themeColor="text1"/>
          <w:sz w:val="24"/>
          <w:szCs w:val="28"/>
          <w:vertAlign w:val="superscript"/>
        </w:rPr>
        <w:t>a,b,c</w:t>
      </w:r>
      <w:bookmarkEnd w:id="0"/>
      <w:r w:rsidRPr="00A80D1E">
        <w:rPr>
          <w:rFonts w:ascii="Times New Roman" w:hAnsi="Times New Roman" w:cs="Times New Roman"/>
          <w:bCs/>
          <w:color w:val="000000" w:themeColor="text1"/>
          <w:sz w:val="24"/>
          <w:szCs w:val="28"/>
        </w:rPr>
        <w:t>, Min Sun</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Xuehan Zhang</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Mi Hu</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Rongli Guo</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Wei Wang</w:t>
      </w:r>
      <w:r w:rsidRPr="00A80D1E">
        <w:rPr>
          <w:rFonts w:ascii="Times New Roman" w:hAnsi="Times New Roman" w:cs="Times New Roman"/>
          <w:bCs/>
          <w:color w:val="000000" w:themeColor="text1"/>
          <w:sz w:val="24"/>
          <w:szCs w:val="28"/>
          <w:vertAlign w:val="superscript"/>
        </w:rPr>
        <w:t>a,b,c</w:t>
      </w:r>
      <w:r w:rsidRPr="00A80D1E">
        <w:rPr>
          <w:rFonts w:ascii="Times New Roman" w:hAnsi="Times New Roman" w:cs="Times New Roman"/>
          <w:bCs/>
          <w:color w:val="000000" w:themeColor="text1"/>
          <w:sz w:val="24"/>
          <w:szCs w:val="28"/>
        </w:rPr>
        <w:t>, Siyuan Ding</w:t>
      </w:r>
      <w:r w:rsidRPr="00A80D1E">
        <w:rPr>
          <w:rFonts w:ascii="Times New Roman" w:hAnsi="Times New Roman" w:cs="Times New Roman"/>
          <w:bCs/>
          <w:color w:val="000000" w:themeColor="text1"/>
          <w:sz w:val="24"/>
          <w:szCs w:val="28"/>
          <w:vertAlign w:val="superscript"/>
        </w:rPr>
        <w:t>f,*</w:t>
      </w:r>
      <w:r w:rsidRPr="00A80D1E">
        <w:rPr>
          <w:rFonts w:ascii="Times New Roman" w:hAnsi="Times New Roman" w:cs="Times New Roman"/>
          <w:bCs/>
          <w:color w:val="000000" w:themeColor="text1"/>
          <w:sz w:val="24"/>
          <w:szCs w:val="28"/>
        </w:rPr>
        <w:t>, Bin Li</w:t>
      </w:r>
      <w:r w:rsidRPr="00A80D1E">
        <w:rPr>
          <w:rFonts w:ascii="Times New Roman" w:hAnsi="Times New Roman" w:cs="Times New Roman"/>
          <w:bCs/>
          <w:color w:val="000000" w:themeColor="text1"/>
          <w:sz w:val="24"/>
          <w:szCs w:val="28"/>
          <w:vertAlign w:val="superscript"/>
        </w:rPr>
        <w:t>a,b,c,d,e,*</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a</w:t>
      </w:r>
      <w:r w:rsidRPr="00A80D1E">
        <w:rPr>
          <w:rFonts w:ascii="Times New Roman" w:hAnsi="Times New Roman" w:cs="Times New Roman"/>
          <w:color w:val="000000" w:themeColor="text1"/>
          <w:sz w:val="24"/>
          <w:szCs w:val="24"/>
        </w:rPr>
        <w:t xml:space="preserve"> Institute of Veterinary Medicine, Jiangsu Academy of Agricultural Sciences, Key Laboratory of Veterinary Biological Engineering and Technology, Ministry of Agriculture, Jiangsu Key Laboratory for Food Quality and Safety-State Key Laboratory Cultivation Base of Ministry of Science and Technology, Nanjing</w:t>
      </w:r>
      <w:r w:rsidRPr="00A80D1E">
        <w:t xml:space="preserve"> </w:t>
      </w:r>
      <w:r w:rsidRPr="00A80D1E">
        <w:rPr>
          <w:rFonts w:ascii="Times New Roman" w:hAnsi="Times New Roman" w:cs="Times New Roman"/>
          <w:color w:val="000000" w:themeColor="text1"/>
          <w:sz w:val="24"/>
          <w:szCs w:val="24"/>
        </w:rPr>
        <w:t>2100</w:t>
      </w:r>
      <w:r w:rsidRPr="00A80D1E">
        <w:rPr>
          <w:rFonts w:ascii="Times New Roman" w:hAnsi="Times New Roman" w:cs="Times New Roman" w:hint="eastAsia"/>
          <w:color w:val="000000" w:themeColor="text1"/>
          <w:sz w:val="24"/>
          <w:szCs w:val="24"/>
        </w:rPr>
        <w:t>14</w:t>
      </w:r>
      <w:r w:rsidRPr="00A80D1E">
        <w:rPr>
          <w:rFonts w:ascii="Times New Roman" w:hAnsi="Times New Roman" w:cs="Times New Roman"/>
          <w:color w:val="000000" w:themeColor="text1"/>
          <w:sz w:val="24"/>
          <w:szCs w:val="24"/>
        </w:rPr>
        <w:t>, China</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b</w:t>
      </w:r>
      <w:r w:rsidRPr="00A80D1E">
        <w:rPr>
          <w:rFonts w:ascii="Times New Roman" w:hAnsi="Times New Roman" w:cs="Times New Roman"/>
          <w:color w:val="000000" w:themeColor="text1"/>
          <w:sz w:val="24"/>
          <w:szCs w:val="24"/>
        </w:rPr>
        <w:t xml:space="preserve"> Jiangsu Co-Innovation Center for the Prevention and Control of Important Animal Infectious Diseases and Zoonoses, </w:t>
      </w:r>
      <w:bookmarkStart w:id="1" w:name="OLE_LINK11"/>
      <w:r w:rsidRPr="00A80D1E">
        <w:rPr>
          <w:rFonts w:ascii="Times New Roman" w:hAnsi="Times New Roman" w:cs="Times New Roman"/>
          <w:color w:val="000000" w:themeColor="text1"/>
          <w:sz w:val="24"/>
          <w:szCs w:val="24"/>
        </w:rPr>
        <w:t>Jiangsu Key Laboratory of Zoonoses</w:t>
      </w:r>
      <w:bookmarkEnd w:id="1"/>
      <w:r w:rsidRPr="00A80D1E">
        <w:rPr>
          <w:rFonts w:ascii="Times New Roman" w:hAnsi="Times New Roman" w:cs="Times New Roman"/>
          <w:color w:val="000000" w:themeColor="text1"/>
          <w:sz w:val="24"/>
          <w:szCs w:val="24"/>
        </w:rPr>
        <w:t>, Yangzhou University, Yangzhou 22500</w:t>
      </w:r>
      <w:r w:rsidRPr="00A80D1E">
        <w:rPr>
          <w:rFonts w:ascii="Times New Roman" w:hAnsi="Times New Roman" w:cs="Times New Roman" w:hint="eastAsia"/>
          <w:color w:val="000000" w:themeColor="text1"/>
          <w:sz w:val="24"/>
          <w:szCs w:val="24"/>
        </w:rPr>
        <w:t>9</w:t>
      </w:r>
      <w:r w:rsidRPr="00A80D1E">
        <w:rPr>
          <w:rFonts w:ascii="Times New Roman" w:hAnsi="Times New Roman" w:cs="Times New Roman"/>
          <w:color w:val="000000" w:themeColor="text1"/>
          <w:sz w:val="24"/>
          <w:szCs w:val="24"/>
        </w:rPr>
        <w:t>, China</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c</w:t>
      </w:r>
      <w:r w:rsidRPr="00A80D1E">
        <w:rPr>
          <w:rFonts w:ascii="Times New Roman" w:hAnsi="Times New Roman" w:cs="Times New Roman"/>
          <w:color w:val="000000" w:themeColor="text1"/>
          <w:sz w:val="24"/>
          <w:szCs w:val="24"/>
        </w:rPr>
        <w:t xml:space="preserve"> </w:t>
      </w:r>
      <w:bookmarkStart w:id="2" w:name="OLE_LINK6"/>
      <w:r w:rsidRPr="00A80D1E">
        <w:rPr>
          <w:rFonts w:ascii="Times New Roman" w:hAnsi="Times New Roman" w:cs="Times New Roman"/>
          <w:color w:val="000000" w:themeColor="text1"/>
          <w:sz w:val="24"/>
          <w:szCs w:val="24"/>
        </w:rPr>
        <w:t>GuoTai (Taizhou) Center of Technology Innovation for Veterinary Biologicals, Taizhou 225300, China</w:t>
      </w:r>
      <w:bookmarkEnd w:id="2"/>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d</w:t>
      </w:r>
      <w:r w:rsidRPr="00A80D1E">
        <w:rPr>
          <w:rFonts w:ascii="Times New Roman" w:hAnsi="Times New Roman" w:cs="Times New Roman"/>
          <w:color w:val="000000" w:themeColor="text1"/>
          <w:sz w:val="24"/>
          <w:szCs w:val="24"/>
        </w:rPr>
        <w:t xml:space="preserve"> College of Veterinary Medicine, Yangzhou University, Yangzhou 22500</w:t>
      </w:r>
      <w:r w:rsidRPr="00A80D1E">
        <w:rPr>
          <w:rFonts w:ascii="Times New Roman" w:hAnsi="Times New Roman" w:cs="Times New Roman" w:hint="eastAsia"/>
          <w:color w:val="000000" w:themeColor="text1"/>
          <w:sz w:val="24"/>
          <w:szCs w:val="24"/>
        </w:rPr>
        <w:t>9</w:t>
      </w:r>
      <w:r w:rsidRPr="00A80D1E">
        <w:rPr>
          <w:rFonts w:ascii="Times New Roman" w:hAnsi="Times New Roman" w:cs="Times New Roman"/>
          <w:color w:val="000000" w:themeColor="text1"/>
          <w:sz w:val="24"/>
          <w:szCs w:val="24"/>
        </w:rPr>
        <w:t>, China</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e</w:t>
      </w:r>
      <w:r w:rsidRPr="00A80D1E">
        <w:rPr>
          <w:rFonts w:ascii="Times New Roman" w:hAnsi="Times New Roman" w:cs="Times New Roman"/>
          <w:color w:val="000000" w:themeColor="text1"/>
          <w:sz w:val="24"/>
          <w:szCs w:val="24"/>
        </w:rPr>
        <w:t xml:space="preserve"> College of Veterinary Medicine, Nanjing Agricultural University, Nanjing 2100</w:t>
      </w:r>
      <w:r w:rsidRPr="00A80D1E">
        <w:rPr>
          <w:rFonts w:ascii="Times New Roman" w:hAnsi="Times New Roman" w:cs="Times New Roman" w:hint="eastAsia"/>
          <w:color w:val="000000" w:themeColor="text1"/>
          <w:sz w:val="24"/>
          <w:szCs w:val="24"/>
        </w:rPr>
        <w:t>95</w:t>
      </w:r>
      <w:r w:rsidRPr="00A80D1E">
        <w:rPr>
          <w:rFonts w:ascii="Times New Roman" w:hAnsi="Times New Roman" w:cs="Times New Roman"/>
          <w:color w:val="000000" w:themeColor="text1"/>
          <w:sz w:val="24"/>
          <w:szCs w:val="24"/>
        </w:rPr>
        <w:t>, China</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f</w:t>
      </w:r>
      <w:r w:rsidRPr="00A80D1E">
        <w:rPr>
          <w:rFonts w:ascii="Times New Roman" w:hAnsi="Times New Roman" w:cs="Times New Roman"/>
          <w:color w:val="000000" w:themeColor="text1"/>
          <w:sz w:val="24"/>
          <w:szCs w:val="24"/>
        </w:rPr>
        <w:t xml:space="preserve"> Department of Molecular Microbiology, Washington University School of Medicine in St. Louis, St. Louis 63110, Missouri, USA</w:t>
      </w:r>
    </w:p>
    <w:p w:rsidR="00CC7905" w:rsidRPr="00A80D1E" w:rsidRDefault="00CC7905" w:rsidP="00CC7905">
      <w:pPr>
        <w:spacing w:line="360" w:lineRule="auto"/>
        <w:jc w:val="left"/>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vertAlign w:val="superscript"/>
        </w:rPr>
        <w:t>1</w:t>
      </w:r>
      <w:r w:rsidRPr="00A80D1E">
        <w:rPr>
          <w:rFonts w:ascii="Times New Roman" w:hAnsi="Times New Roman" w:cs="Times New Roman"/>
          <w:color w:val="000000" w:themeColor="text1"/>
          <w:sz w:val="24"/>
          <w:szCs w:val="24"/>
        </w:rPr>
        <w:t xml:space="preserve"> Nan Han, Ran Tao and Xi Cheng contributed equally to this work.</w:t>
      </w:r>
    </w:p>
    <w:p w:rsidR="00CC7905" w:rsidRPr="00A80D1E" w:rsidRDefault="00CC7905" w:rsidP="00CC7905">
      <w:pPr>
        <w:spacing w:line="360" w:lineRule="auto"/>
        <w:jc w:val="left"/>
        <w:rPr>
          <w:rFonts w:ascii="Times New Roman" w:hAnsi="Times New Roman" w:cs="Times New Roman"/>
          <w:bCs/>
          <w:color w:val="000000" w:themeColor="text1"/>
          <w:sz w:val="24"/>
          <w:szCs w:val="24"/>
        </w:rPr>
      </w:pPr>
      <w:r w:rsidRPr="00A80D1E">
        <w:rPr>
          <w:rFonts w:ascii="Times New Roman" w:hAnsi="Times New Roman" w:cs="Times New Roman"/>
          <w:bCs/>
          <w:color w:val="000000" w:themeColor="text1"/>
          <w:sz w:val="24"/>
          <w:szCs w:val="24"/>
        </w:rPr>
        <w:t>* Corresponding authors.</w:t>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color w:val="000000" w:themeColor="text1"/>
          <w:sz w:val="24"/>
          <w:szCs w:val="24"/>
        </w:rPr>
        <w:t xml:space="preserve">E-mail addresses: </w:t>
      </w:r>
      <w:hyperlink r:id="rId6" w:history="1">
        <w:r w:rsidRPr="00A80D1E">
          <w:rPr>
            <w:rStyle w:val="a5"/>
            <w:rFonts w:eastAsiaTheme="minorEastAsia"/>
            <w:color w:val="000000" w:themeColor="text1"/>
          </w:rPr>
          <w:t>siyuan.ding@wustl.edu</w:t>
        </w:r>
      </w:hyperlink>
      <w:r w:rsidRPr="00A80D1E">
        <w:rPr>
          <w:rFonts w:ascii="Times New Roman" w:hAnsi="Times New Roman" w:cs="Times New Roman"/>
          <w:color w:val="000000" w:themeColor="text1"/>
          <w:sz w:val="24"/>
          <w:szCs w:val="24"/>
        </w:rPr>
        <w:t xml:space="preserve"> (S. Ding), </w:t>
      </w:r>
      <w:hyperlink r:id="rId7" w:history="1">
        <w:r w:rsidRPr="00A80D1E">
          <w:rPr>
            <w:rStyle w:val="a5"/>
            <w:rFonts w:eastAsiaTheme="minorEastAsia"/>
            <w:color w:val="000000" w:themeColor="text1"/>
          </w:rPr>
          <w:t>libinana@126.com</w:t>
        </w:r>
      </w:hyperlink>
      <w:r w:rsidRPr="00A80D1E">
        <w:rPr>
          <w:rStyle w:val="a5"/>
          <w:rFonts w:eastAsiaTheme="minorEastAsia"/>
          <w:color w:val="000000" w:themeColor="text1"/>
        </w:rPr>
        <w:t xml:space="preserve"> (</w:t>
      </w:r>
      <w:r w:rsidRPr="00A80D1E">
        <w:rPr>
          <w:rFonts w:ascii="Times New Roman" w:hAnsi="Times New Roman" w:cs="Times New Roman"/>
          <w:color w:val="000000" w:themeColor="text1"/>
          <w:sz w:val="24"/>
          <w:szCs w:val="24"/>
        </w:rPr>
        <w:t>B. Li</w:t>
      </w:r>
      <w:r w:rsidRPr="00A80D1E">
        <w:rPr>
          <w:rStyle w:val="a5"/>
          <w:rFonts w:eastAsiaTheme="minorEastAsia"/>
          <w:color w:val="000000" w:themeColor="text1"/>
        </w:rPr>
        <w:t>)</w:t>
      </w:r>
    </w:p>
    <w:p w:rsidR="00CC7905" w:rsidRPr="00A80D1E" w:rsidRDefault="00CC7905" w:rsidP="00CC7905">
      <w:pPr>
        <w:spacing w:line="360" w:lineRule="auto"/>
        <w:rPr>
          <w:rStyle w:val="a5"/>
          <w:rFonts w:eastAsiaTheme="minorEastAsia"/>
          <w:color w:val="000000" w:themeColor="text1"/>
        </w:rPr>
      </w:pPr>
      <w:r w:rsidRPr="00A80D1E">
        <w:rPr>
          <w:rFonts w:ascii="Times New Roman" w:hAnsi="Times New Roman" w:cs="Times New Roman"/>
          <w:color w:val="000000" w:themeColor="text1"/>
          <w:sz w:val="24"/>
          <w:szCs w:val="24"/>
        </w:rPr>
        <w:t xml:space="preserve">ORCID: 0000-0002-5338-260X (S. Ding), 0000-0003-1318-7081 </w:t>
      </w:r>
      <w:r w:rsidRPr="00A80D1E">
        <w:rPr>
          <w:rStyle w:val="a5"/>
          <w:rFonts w:eastAsiaTheme="minorEastAsia"/>
          <w:color w:val="000000" w:themeColor="text1"/>
        </w:rPr>
        <w:t>(</w:t>
      </w:r>
      <w:r w:rsidRPr="00A80D1E">
        <w:rPr>
          <w:rFonts w:ascii="Times New Roman" w:hAnsi="Times New Roman" w:cs="Times New Roman"/>
          <w:color w:val="000000" w:themeColor="text1"/>
          <w:sz w:val="24"/>
          <w:szCs w:val="24"/>
        </w:rPr>
        <w:t>B. Li</w:t>
      </w:r>
      <w:r w:rsidRPr="00A80D1E">
        <w:rPr>
          <w:rStyle w:val="a5"/>
          <w:rFonts w:eastAsiaTheme="minorEastAsia"/>
          <w:color w:val="000000" w:themeColor="text1"/>
        </w:rPr>
        <w:t>)</w:t>
      </w:r>
    </w:p>
    <w:p w:rsidR="00CC7905" w:rsidRDefault="00CC7905">
      <w:pPr>
        <w:widowControl/>
        <w:jc w:val="left"/>
      </w:pPr>
      <w:r>
        <w:br w:type="page"/>
      </w:r>
    </w:p>
    <w:p w:rsidR="00CC7905" w:rsidRPr="00A80D1E" w:rsidRDefault="00CC7905" w:rsidP="00CC7905">
      <w:pPr>
        <w:spacing w:line="360" w:lineRule="auto"/>
        <w:rPr>
          <w:rFonts w:ascii="Times New Roman" w:hAnsi="Times New Roman" w:cs="Times New Roman"/>
          <w:b/>
          <w:bCs/>
          <w:color w:val="000000" w:themeColor="text1"/>
          <w:sz w:val="24"/>
          <w:szCs w:val="56"/>
        </w:rPr>
      </w:pPr>
      <w:r w:rsidRPr="00A80D1E">
        <w:rPr>
          <w:rFonts w:ascii="Times New Roman" w:hAnsi="Times New Roman" w:cs="Times New Roman"/>
          <w:b/>
          <w:bCs/>
          <w:color w:val="000000" w:themeColor="text1"/>
          <w:sz w:val="24"/>
          <w:szCs w:val="56"/>
        </w:rPr>
        <w:lastRenderedPageBreak/>
        <w:t xml:space="preserve">Supplementary </w:t>
      </w:r>
      <w:r w:rsidR="00045564">
        <w:rPr>
          <w:rFonts w:ascii="Times New Roman" w:hAnsi="Times New Roman" w:cs="Times New Roman"/>
          <w:b/>
          <w:bCs/>
          <w:color w:val="000000" w:themeColor="text1"/>
          <w:sz w:val="24"/>
          <w:szCs w:val="56"/>
        </w:rPr>
        <w:t>Figure</w:t>
      </w:r>
      <w:r w:rsidRPr="00A80D1E">
        <w:rPr>
          <w:rFonts w:ascii="Times New Roman" w:hAnsi="Times New Roman" w:cs="Times New Roman" w:hint="eastAsia"/>
          <w:b/>
          <w:bCs/>
          <w:color w:val="000000" w:themeColor="text1"/>
          <w:sz w:val="24"/>
          <w:szCs w:val="56"/>
        </w:rPr>
        <w:t>s</w:t>
      </w:r>
    </w:p>
    <w:p w:rsidR="00CC7905" w:rsidRPr="00A80D1E" w:rsidRDefault="00CC7905" w:rsidP="00CC7905">
      <w:pPr>
        <w:spacing w:line="360" w:lineRule="auto"/>
        <w:rPr>
          <w:rFonts w:ascii="Times New Roman" w:hAnsi="Times New Roman" w:cs="Times New Roman"/>
          <w:sz w:val="24"/>
          <w:szCs w:val="24"/>
        </w:rPr>
      </w:pPr>
      <w:r w:rsidRPr="00CC7905">
        <w:rPr>
          <w:rFonts w:ascii="Times New Roman" w:hAnsi="Times New Roman" w:cs="Times New Roman"/>
          <w:noProof/>
          <w:sz w:val="24"/>
          <w:szCs w:val="24"/>
        </w:rPr>
        <w:drawing>
          <wp:inline distT="0" distB="0" distL="0" distR="0">
            <wp:extent cx="5274310" cy="2104579"/>
            <wp:effectExtent l="0" t="0" r="0" b="0"/>
            <wp:docPr id="1" name="图片 1" descr="D:\yanmm\VS正在处理\7211\7211 CE to Production\S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mm\VS正在处理\7211\7211 CE to Production\S Figure 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104579"/>
                    </a:xfrm>
                    <a:prstGeom prst="rect">
                      <a:avLst/>
                    </a:prstGeom>
                    <a:noFill/>
                    <a:ln>
                      <a:noFill/>
                    </a:ln>
                  </pic:spPr>
                </pic:pic>
              </a:graphicData>
            </a:graphic>
          </wp:inline>
        </w:drawing>
      </w:r>
    </w:p>
    <w:p w:rsidR="00CC7905" w:rsidRPr="00A80D1E" w:rsidRDefault="00CC7905" w:rsidP="00CC7905">
      <w:pPr>
        <w:spacing w:line="360" w:lineRule="auto"/>
        <w:rPr>
          <w:rFonts w:ascii="Times New Roman" w:hAnsi="Times New Roman" w:cs="Times New Roman"/>
          <w:b/>
          <w:bCs/>
          <w:color w:val="000000" w:themeColor="text1"/>
          <w:sz w:val="24"/>
          <w:szCs w:val="24"/>
        </w:rPr>
      </w:pPr>
      <w:r w:rsidRPr="00A80D1E">
        <w:rPr>
          <w:rFonts w:ascii="Times New Roman" w:hAnsi="Times New Roman" w:cs="Times New Roman"/>
          <w:b/>
          <w:bCs/>
          <w:color w:val="000000" w:themeColor="text1"/>
          <w:sz w:val="24"/>
          <w:szCs w:val="24"/>
        </w:rPr>
        <w:t>Supplementary Fig. S1.</w:t>
      </w:r>
      <w:r w:rsidRPr="00A80D1E">
        <w:rPr>
          <w:rFonts w:ascii="Times New Roman" w:hAnsi="Times New Roman" w:cs="Times New Roman"/>
          <w:color w:val="000000" w:themeColor="text1"/>
          <w:sz w:val="24"/>
          <w:szCs w:val="24"/>
        </w:rPr>
        <w:t xml:space="preserve"> The reporter virus rAHFY2022-NSP3-UnaG was used to screen antiviral drugs. MA104 cells were infected with rAHFY2022-NSP3-UnaG (MOI = 0.01) for 8 hpi under the pretreatment of the compounds C1 to C10 (10 μM) for 6 h. Then the UnaG fluorescence in cells was analyzed using microscopy. Bar, 100 μm. The right side shows the relative fold of the fluorescence intensity.</w:t>
      </w:r>
    </w:p>
    <w:p w:rsidR="00CC7905" w:rsidRPr="00A80D1E" w:rsidRDefault="00045564" w:rsidP="00045564">
      <w:pPr>
        <w:spacing w:line="360" w:lineRule="auto"/>
        <w:ind w:firstLine="420"/>
        <w:rPr>
          <w:rFonts w:ascii="Times New Roman" w:hAnsi="Times New Roman" w:cs="Times New Roman"/>
          <w:color w:val="000000" w:themeColor="text1"/>
          <w:sz w:val="24"/>
          <w:szCs w:val="24"/>
        </w:rPr>
      </w:pPr>
      <w:r w:rsidRPr="00045564">
        <w:rPr>
          <w:rFonts w:ascii="Times New Roman" w:hAnsi="Times New Roman" w:cs="Times New Roman"/>
          <w:noProof/>
          <w:color w:val="000000" w:themeColor="text1"/>
          <w:sz w:val="24"/>
          <w:szCs w:val="24"/>
        </w:rPr>
        <w:drawing>
          <wp:inline distT="0" distB="0" distL="0" distR="0">
            <wp:extent cx="3946525" cy="3453130"/>
            <wp:effectExtent l="0" t="0" r="0" b="0"/>
            <wp:docPr id="2" name="图片 2" descr="D:\yanmm\VS正在处理\7211\R1-2\S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3" descr="D:\yanmm\VS正在处理\7211\R1-2\S Figure 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6525" cy="3453130"/>
                    </a:xfrm>
                    <a:prstGeom prst="rect">
                      <a:avLst/>
                    </a:prstGeom>
                    <a:noFill/>
                    <a:ln>
                      <a:noFill/>
                    </a:ln>
                  </pic:spPr>
                </pic:pic>
              </a:graphicData>
            </a:graphic>
          </wp:inline>
        </w:drawing>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b/>
          <w:bCs/>
          <w:color w:val="000000" w:themeColor="text1"/>
          <w:sz w:val="24"/>
          <w:szCs w:val="24"/>
        </w:rPr>
        <w:t xml:space="preserve">Supplementary Fig. S2. </w:t>
      </w:r>
      <w:r w:rsidRPr="00A80D1E">
        <w:rPr>
          <w:rFonts w:ascii="Times New Roman" w:hAnsi="Times New Roman" w:cs="Times New Roman"/>
          <w:color w:val="000000" w:themeColor="text1"/>
          <w:sz w:val="24"/>
          <w:szCs w:val="24"/>
        </w:rPr>
        <w:t>Comparative analysis of the anti-PoRV efficacy of compounds C8 and C9 follwing 1-h and 6-h pretreatments with. MA104 cells, seeded in 48-well plates, were pretreated with 10 μM of compound C8 or C9 for either 1 h or 6 h at 37 °C. Following the pretreatment, the cells were infected with the rAHFY2022-</w:t>
      </w:r>
      <w:r w:rsidRPr="00A80D1E">
        <w:rPr>
          <w:rFonts w:ascii="Times New Roman" w:hAnsi="Times New Roman" w:cs="Times New Roman"/>
          <w:color w:val="000000" w:themeColor="text1"/>
          <w:sz w:val="24"/>
          <w:szCs w:val="24"/>
        </w:rPr>
        <w:lastRenderedPageBreak/>
        <w:t xml:space="preserve">NSP3-UnaG reporter virus at an MOI of 0.01. At 8 hpi, viral titers were determined. </w:t>
      </w:r>
      <w:r w:rsidRPr="00A80D1E">
        <w:rPr>
          <w:rFonts w:ascii="Times New Roman" w:eastAsia="宋体" w:hAnsi="Times New Roman" w:cs="Times New Roman"/>
          <w:color w:val="000000" w:themeColor="text1"/>
          <w:sz w:val="24"/>
          <w:szCs w:val="24"/>
        </w:rPr>
        <w:t xml:space="preserve">Statistical differences were calculated using </w:t>
      </w:r>
      <w:r w:rsidRPr="00A80D1E">
        <w:rPr>
          <w:rFonts w:ascii="Times New Roman" w:hAnsi="Times New Roman" w:cs="Times New Roman"/>
          <w:color w:val="000000" w:themeColor="text1"/>
          <w:sz w:val="24"/>
          <w:szCs w:val="24"/>
        </w:rPr>
        <w:t>the one-way ANOVA test</w:t>
      </w:r>
      <w:r w:rsidRPr="00A80D1E">
        <w:rPr>
          <w:rFonts w:ascii="Times New Roman" w:eastAsia="宋体" w:hAnsi="Times New Roman" w:cs="Times New Roman"/>
          <w:color w:val="000000" w:themeColor="text1"/>
          <w:sz w:val="24"/>
          <w:szCs w:val="24"/>
        </w:rPr>
        <w:t>. **</w:t>
      </w:r>
      <w:r w:rsidRPr="00A80D1E">
        <w:rPr>
          <w:rFonts w:ascii="Times New Roman" w:eastAsia="宋体" w:hAnsi="Times New Roman" w:cs="Times New Roman"/>
          <w:i/>
          <w:color w:val="000000" w:themeColor="text1"/>
          <w:sz w:val="24"/>
          <w:szCs w:val="24"/>
        </w:rPr>
        <w:t>P</w:t>
      </w:r>
      <w:r w:rsidRPr="00A80D1E">
        <w:rPr>
          <w:rFonts w:ascii="Times New Roman" w:eastAsia="宋体" w:hAnsi="Times New Roman" w:cs="Times New Roman"/>
          <w:color w:val="000000" w:themeColor="text1"/>
          <w:sz w:val="24"/>
          <w:szCs w:val="24"/>
        </w:rPr>
        <w:t xml:space="preserve"> &lt; 0.01, ***</w:t>
      </w:r>
      <w:r w:rsidRPr="00A80D1E">
        <w:rPr>
          <w:rFonts w:ascii="Times New Roman" w:eastAsia="宋体" w:hAnsi="Times New Roman" w:cs="Times New Roman"/>
          <w:i/>
          <w:color w:val="000000" w:themeColor="text1"/>
          <w:sz w:val="24"/>
          <w:szCs w:val="24"/>
        </w:rPr>
        <w:t>P</w:t>
      </w:r>
      <w:r w:rsidRPr="00A80D1E">
        <w:rPr>
          <w:rFonts w:ascii="Times New Roman" w:eastAsia="宋体" w:hAnsi="Times New Roman" w:cs="Times New Roman"/>
          <w:color w:val="000000" w:themeColor="text1"/>
          <w:sz w:val="24"/>
          <w:szCs w:val="24"/>
        </w:rPr>
        <w:t xml:space="preserve"> &lt; 0.001.</w:t>
      </w:r>
    </w:p>
    <w:p w:rsidR="00CC7905" w:rsidRPr="00A80D1E" w:rsidRDefault="00045564" w:rsidP="00045564">
      <w:pPr>
        <w:tabs>
          <w:tab w:val="left" w:pos="2255"/>
        </w:tabs>
        <w:spacing w:line="360" w:lineRule="auto"/>
        <w:jc w:val="center"/>
        <w:rPr>
          <w:rFonts w:ascii="Times New Roman" w:hAnsi="Times New Roman" w:cs="Times New Roman"/>
          <w:color w:val="000000" w:themeColor="text1"/>
          <w:sz w:val="24"/>
          <w:szCs w:val="24"/>
        </w:rPr>
      </w:pPr>
      <w:r w:rsidRPr="00045564">
        <w:rPr>
          <w:rFonts w:ascii="Times New Roman" w:hAnsi="Times New Roman" w:cs="Times New Roman"/>
          <w:noProof/>
          <w:color w:val="000000" w:themeColor="text1"/>
          <w:sz w:val="24"/>
          <w:szCs w:val="24"/>
        </w:rPr>
        <w:drawing>
          <wp:inline distT="0" distB="0" distL="0" distR="0">
            <wp:extent cx="3669632" cy="3034350"/>
            <wp:effectExtent l="0" t="0" r="0" b="0"/>
            <wp:docPr id="3" name="图片 3" descr="D:\yanmm\VS正在处理\7211\R1-2\S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4" descr="D:\yanmm\VS正在处理\7211\R1-2\S Figure 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2269" cy="3036531"/>
                    </a:xfrm>
                    <a:prstGeom prst="rect">
                      <a:avLst/>
                    </a:prstGeom>
                    <a:noFill/>
                    <a:ln>
                      <a:noFill/>
                    </a:ln>
                  </pic:spPr>
                </pic:pic>
              </a:graphicData>
            </a:graphic>
          </wp:inline>
        </w:drawing>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b/>
          <w:bCs/>
          <w:color w:val="000000" w:themeColor="text1"/>
          <w:sz w:val="24"/>
          <w:szCs w:val="24"/>
        </w:rPr>
        <w:t xml:space="preserve">Supplementary Fig. S3. </w:t>
      </w:r>
      <w:r w:rsidRPr="00A80D1E">
        <w:rPr>
          <w:rFonts w:ascii="Times New Roman" w:hAnsi="Times New Roman" w:cs="Times New Roman"/>
          <w:color w:val="000000" w:themeColor="text1"/>
          <w:sz w:val="24"/>
          <w:szCs w:val="24"/>
        </w:rPr>
        <w:t>The schematic diagram to indicate the experimental design used to examine viral replication cycle.</w:t>
      </w:r>
    </w:p>
    <w:p w:rsidR="00CC7905" w:rsidRPr="00A80D1E" w:rsidRDefault="00045564" w:rsidP="00045564">
      <w:pPr>
        <w:spacing w:line="360" w:lineRule="auto"/>
        <w:jc w:val="center"/>
        <w:rPr>
          <w:rFonts w:ascii="Times New Roman" w:hAnsi="Times New Roman" w:cs="Times New Roman"/>
          <w:color w:val="000000" w:themeColor="text1"/>
          <w:sz w:val="24"/>
          <w:szCs w:val="24"/>
        </w:rPr>
      </w:pPr>
      <w:r w:rsidRPr="00045564">
        <w:rPr>
          <w:rFonts w:ascii="Times New Roman" w:hAnsi="Times New Roman" w:cs="Times New Roman"/>
          <w:noProof/>
          <w:color w:val="000000" w:themeColor="text1"/>
          <w:sz w:val="24"/>
          <w:szCs w:val="24"/>
        </w:rPr>
        <w:drawing>
          <wp:inline distT="0" distB="0" distL="0" distR="0">
            <wp:extent cx="3076696" cy="2616868"/>
            <wp:effectExtent l="0" t="0" r="0" b="0"/>
            <wp:docPr id="4" name="图片 4" descr="D:\yanmm\VS正在处理\7211\R1-2\S 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5" descr="D:\yanmm\VS正在处理\7211\R1-2\S Figure 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202" cy="2618149"/>
                    </a:xfrm>
                    <a:prstGeom prst="rect">
                      <a:avLst/>
                    </a:prstGeom>
                    <a:noFill/>
                    <a:ln>
                      <a:noFill/>
                    </a:ln>
                  </pic:spPr>
                </pic:pic>
              </a:graphicData>
            </a:graphic>
          </wp:inline>
        </w:drawing>
      </w:r>
    </w:p>
    <w:p w:rsidR="00CC7905" w:rsidRPr="00A80D1E"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b/>
          <w:bCs/>
          <w:color w:val="000000" w:themeColor="text1"/>
          <w:sz w:val="24"/>
          <w:szCs w:val="24"/>
        </w:rPr>
        <w:t xml:space="preserve">Supplementary Fig. S4. </w:t>
      </w:r>
      <w:r w:rsidRPr="00A80D1E">
        <w:rPr>
          <w:rFonts w:ascii="Times New Roman" w:hAnsi="Times New Roman" w:cs="Times New Roman"/>
          <w:color w:val="000000" w:themeColor="text1"/>
          <w:sz w:val="24"/>
          <w:szCs w:val="24"/>
        </w:rPr>
        <w:t>Both</w:t>
      </w:r>
      <w:r w:rsidRPr="00A80D1E">
        <w:rPr>
          <w:rFonts w:ascii="Times New Roman" w:hAnsi="Times New Roman" w:cs="Times New Roman"/>
          <w:b/>
          <w:bCs/>
          <w:color w:val="000000" w:themeColor="text1"/>
          <w:sz w:val="24"/>
          <w:szCs w:val="24"/>
        </w:rPr>
        <w:t xml:space="preserve"> </w:t>
      </w:r>
      <w:r w:rsidRPr="00A80D1E">
        <w:rPr>
          <w:rFonts w:ascii="Times New Roman" w:hAnsi="Times New Roman" w:cs="Times New Roman"/>
          <w:color w:val="000000" w:themeColor="text1"/>
          <w:sz w:val="24"/>
          <w:szCs w:val="24"/>
        </w:rPr>
        <w:t xml:space="preserve">C8 and C9 could downregulate RV induced inflammatory responses. MA104 cells pretreated with C8 or C9 were infected with PoRV at an MOI of 0.1 for 12 h and then collected for analysis of the relative mRNA levels of TNF-α, IL-6, IL-8, and IL-1β. The data were generated from at least three independent experiments (means ± SD). </w:t>
      </w:r>
      <w:r w:rsidRPr="00A80D1E">
        <w:rPr>
          <w:rFonts w:ascii="Times New Roman" w:eastAsia="宋体" w:hAnsi="Times New Roman" w:cs="Times New Roman"/>
          <w:color w:val="000000" w:themeColor="text1"/>
          <w:sz w:val="24"/>
          <w:szCs w:val="24"/>
        </w:rPr>
        <w:t xml:space="preserve">Statistical differences were calculated using </w:t>
      </w:r>
      <w:r w:rsidRPr="00A80D1E">
        <w:rPr>
          <w:rFonts w:ascii="Times New Roman" w:hAnsi="Times New Roman" w:cs="Times New Roman"/>
          <w:color w:val="000000" w:themeColor="text1"/>
          <w:sz w:val="24"/>
          <w:szCs w:val="24"/>
        </w:rPr>
        <w:lastRenderedPageBreak/>
        <w:t>the one-way ANOVA test</w:t>
      </w:r>
      <w:r w:rsidRPr="00A80D1E">
        <w:rPr>
          <w:rFonts w:ascii="Times New Roman" w:eastAsia="宋体" w:hAnsi="Times New Roman" w:cs="Times New Roman"/>
          <w:color w:val="000000" w:themeColor="text1"/>
          <w:sz w:val="24"/>
          <w:szCs w:val="24"/>
        </w:rPr>
        <w:t>. ***</w:t>
      </w:r>
      <w:r w:rsidRPr="00A80D1E">
        <w:rPr>
          <w:rFonts w:ascii="Times New Roman" w:eastAsia="宋体" w:hAnsi="Times New Roman" w:cs="Times New Roman"/>
          <w:i/>
          <w:color w:val="000000" w:themeColor="text1"/>
          <w:sz w:val="24"/>
          <w:szCs w:val="24"/>
        </w:rPr>
        <w:t>P</w:t>
      </w:r>
      <w:r w:rsidRPr="00A80D1E">
        <w:rPr>
          <w:rFonts w:ascii="Times New Roman" w:eastAsia="宋体" w:hAnsi="Times New Roman" w:cs="Times New Roman"/>
          <w:color w:val="000000" w:themeColor="text1"/>
          <w:sz w:val="24"/>
          <w:szCs w:val="24"/>
        </w:rPr>
        <w:t xml:space="preserve"> &lt; 0.001.</w:t>
      </w:r>
    </w:p>
    <w:p w:rsidR="00CC7905" w:rsidRPr="00A80D1E" w:rsidRDefault="00045564" w:rsidP="00045564">
      <w:pPr>
        <w:spacing w:line="360" w:lineRule="auto"/>
        <w:jc w:val="center"/>
        <w:rPr>
          <w:rFonts w:ascii="Times New Roman" w:hAnsi="Times New Roman" w:cs="Times New Roman"/>
          <w:color w:val="000000" w:themeColor="text1"/>
          <w:sz w:val="24"/>
          <w:szCs w:val="24"/>
        </w:rPr>
      </w:pPr>
      <w:r w:rsidRPr="00045564">
        <w:rPr>
          <w:rFonts w:ascii="Times New Roman" w:hAnsi="Times New Roman" w:cs="Times New Roman"/>
          <w:noProof/>
          <w:color w:val="000000" w:themeColor="text1"/>
          <w:sz w:val="24"/>
          <w:szCs w:val="24"/>
        </w:rPr>
        <w:drawing>
          <wp:inline distT="0" distB="0" distL="0" distR="0">
            <wp:extent cx="3122195" cy="2440724"/>
            <wp:effectExtent l="0" t="0" r="0" b="0"/>
            <wp:docPr id="7" name="图片 7" descr="D:\yanmm\VS正在处理\7211\R1-2\S 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6" descr="D:\yanmm\VS正在处理\7211\R1-2\S Figure 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7498" cy="2444870"/>
                    </a:xfrm>
                    <a:prstGeom prst="rect">
                      <a:avLst/>
                    </a:prstGeom>
                    <a:noFill/>
                    <a:ln>
                      <a:noFill/>
                    </a:ln>
                  </pic:spPr>
                </pic:pic>
              </a:graphicData>
            </a:graphic>
          </wp:inline>
        </w:drawing>
      </w:r>
    </w:p>
    <w:p w:rsidR="00CC7905" w:rsidRDefault="00CC7905" w:rsidP="00CC7905">
      <w:pPr>
        <w:spacing w:line="360" w:lineRule="auto"/>
        <w:rPr>
          <w:rFonts w:ascii="Times New Roman" w:hAnsi="Times New Roman" w:cs="Times New Roman"/>
          <w:color w:val="000000" w:themeColor="text1"/>
          <w:sz w:val="24"/>
          <w:szCs w:val="24"/>
        </w:rPr>
      </w:pPr>
      <w:r w:rsidRPr="00A80D1E">
        <w:rPr>
          <w:rFonts w:ascii="Times New Roman" w:hAnsi="Times New Roman" w:cs="Times New Roman"/>
          <w:b/>
          <w:bCs/>
          <w:color w:val="000000" w:themeColor="text1"/>
          <w:sz w:val="24"/>
          <w:szCs w:val="24"/>
        </w:rPr>
        <w:t xml:space="preserve">Supplementary Fig. S5. </w:t>
      </w:r>
      <w:r w:rsidRPr="00A80D1E">
        <w:rPr>
          <w:rFonts w:ascii="Times New Roman" w:hAnsi="Times New Roman" w:cs="Times New Roman"/>
          <w:color w:val="000000" w:themeColor="text1"/>
          <w:sz w:val="24"/>
          <w:szCs w:val="24"/>
        </w:rPr>
        <w:t>The growth kinetics of AHFY2022-WT and rAHFY2022-G5-VP7 strains in MA104 cells. MA104 cells were infected with AHFY2022-WT and rAHFY2022-G5-VP7 (MOI = 0.01) and harvested at the indicated time points. The viral titers were determined by using TCID</w:t>
      </w:r>
      <w:r w:rsidRPr="00A80D1E">
        <w:rPr>
          <w:rFonts w:ascii="Times New Roman" w:hAnsi="Times New Roman" w:cs="Times New Roman"/>
          <w:color w:val="000000" w:themeColor="text1"/>
          <w:sz w:val="24"/>
          <w:szCs w:val="24"/>
          <w:vertAlign w:val="subscript"/>
        </w:rPr>
        <w:t>50</w:t>
      </w:r>
      <w:r w:rsidRPr="00A80D1E">
        <w:rPr>
          <w:rFonts w:ascii="Times New Roman" w:hAnsi="Times New Roman" w:cs="Times New Roman"/>
          <w:color w:val="000000" w:themeColor="text1"/>
          <w:sz w:val="24"/>
          <w:szCs w:val="24"/>
        </w:rPr>
        <w:t xml:space="preserve"> assays. Data are the average of three experiments. </w:t>
      </w:r>
      <w:r w:rsidRPr="00A80D1E">
        <w:rPr>
          <w:rFonts w:ascii="Times New Roman" w:eastAsia="宋体" w:hAnsi="Times New Roman" w:cs="Times New Roman"/>
          <w:color w:val="000000" w:themeColor="text1"/>
          <w:sz w:val="24"/>
          <w:szCs w:val="24"/>
        </w:rPr>
        <w:t xml:space="preserve">Statistical differences were calculated using </w:t>
      </w:r>
      <w:r w:rsidRPr="00A80D1E">
        <w:rPr>
          <w:rFonts w:ascii="Times New Roman" w:hAnsi="Times New Roman" w:cs="Times New Roman"/>
          <w:color w:val="000000" w:themeColor="text1"/>
          <w:sz w:val="24"/>
          <w:szCs w:val="24"/>
        </w:rPr>
        <w:t>two-way ANOVA test. ns, not significant.</w:t>
      </w:r>
    </w:p>
    <w:p w:rsidR="00CC7905" w:rsidRDefault="00CC7905" w:rsidP="00CC7905">
      <w:pPr>
        <w:spacing w:line="360" w:lineRule="auto"/>
        <w:rPr>
          <w:rFonts w:ascii="Times New Roman" w:hAnsi="Times New Roman" w:cs="Times New Roman"/>
          <w:color w:val="000000" w:themeColor="text1"/>
          <w:sz w:val="24"/>
          <w:szCs w:val="24"/>
        </w:rPr>
        <w:sectPr w:rsidR="00CC7905">
          <w:pgSz w:w="11906" w:h="16838"/>
          <w:pgMar w:top="1440" w:right="1800" w:bottom="1440" w:left="1800" w:header="851" w:footer="992" w:gutter="0"/>
          <w:cols w:space="425"/>
          <w:docGrid w:type="lines" w:linePitch="312"/>
        </w:sectPr>
      </w:pPr>
    </w:p>
    <w:p w:rsidR="00CC7905" w:rsidRPr="0028034A" w:rsidRDefault="00CC7905" w:rsidP="00CC7905">
      <w:pPr>
        <w:rPr>
          <w:rFonts w:ascii="等线" w:eastAsia="等线" w:hAnsi="等线" w:cs="Times New Roman"/>
          <w:sz w:val="24"/>
          <w:szCs w:val="24"/>
        </w:rPr>
      </w:pPr>
      <w:bookmarkStart w:id="3" w:name="_GoBack"/>
      <w:r w:rsidRPr="0028034A">
        <w:rPr>
          <w:rFonts w:ascii="Times New Roman" w:eastAsia="等线" w:hAnsi="Times New Roman" w:cs="Times New Roman"/>
          <w:b/>
          <w:bCs/>
          <w:sz w:val="24"/>
          <w:szCs w:val="24"/>
        </w:rPr>
        <w:lastRenderedPageBreak/>
        <w:t xml:space="preserve">Supplemental Table S1. </w:t>
      </w:r>
      <w:r w:rsidRPr="0028034A">
        <w:rPr>
          <w:rFonts w:ascii="Times New Roman" w:eastAsia="等线" w:hAnsi="Times New Roman" w:cs="Times New Roman"/>
          <w:sz w:val="24"/>
          <w:szCs w:val="24"/>
        </w:rPr>
        <w:t>The compounds using for screening anti-PoRV drugs in this study.</w:t>
      </w:r>
    </w:p>
    <w:tbl>
      <w:tblPr>
        <w:tblStyle w:val="a7"/>
        <w:tblW w:w="13956" w:type="dxa"/>
        <w:jc w:val="center"/>
        <w:tblLook w:val="04A0" w:firstRow="1" w:lastRow="0" w:firstColumn="1" w:lastColumn="0" w:noHBand="0" w:noVBand="1"/>
      </w:tblPr>
      <w:tblGrid>
        <w:gridCol w:w="3823"/>
        <w:gridCol w:w="4494"/>
        <w:gridCol w:w="1220"/>
        <w:gridCol w:w="3520"/>
        <w:gridCol w:w="899"/>
      </w:tblGrid>
      <w:tr w:rsidR="00CC7905" w:rsidRPr="007B07B4" w:rsidTr="00CC7905">
        <w:trPr>
          <w:trHeight w:val="416"/>
          <w:jc w:val="center"/>
        </w:trPr>
        <w:tc>
          <w:tcPr>
            <w:tcW w:w="3823" w:type="dxa"/>
            <w:vAlign w:val="center"/>
          </w:tcPr>
          <w:bookmarkEnd w:id="3"/>
          <w:p w:rsidR="00CC7905" w:rsidRPr="00A406D7" w:rsidRDefault="00CC7905" w:rsidP="00C578D7">
            <w:pPr>
              <w:jc w:val="center"/>
              <w:rPr>
                <w:rFonts w:ascii="Times New Roman" w:eastAsia="宋体" w:hAnsi="Times New Roman" w:cs="Times New Roman"/>
                <w:b/>
                <w:bCs/>
                <w:kern w:val="0"/>
                <w:szCs w:val="21"/>
                <w:lang w:bidi="ar"/>
              </w:rPr>
            </w:pPr>
            <w:r w:rsidRPr="00A406D7">
              <w:rPr>
                <w:rFonts w:ascii="Times New Roman" w:eastAsia="宋体" w:hAnsi="Times New Roman" w:cs="Times New Roman"/>
                <w:b/>
                <w:bCs/>
                <w:kern w:val="0"/>
                <w:szCs w:val="21"/>
                <w:lang w:bidi="ar"/>
              </w:rPr>
              <w:t>Classification</w:t>
            </w:r>
          </w:p>
        </w:tc>
        <w:tc>
          <w:tcPr>
            <w:tcW w:w="4494" w:type="dxa"/>
            <w:vAlign w:val="center"/>
          </w:tcPr>
          <w:p w:rsidR="00CC7905" w:rsidRPr="00A406D7" w:rsidRDefault="00CC7905" w:rsidP="00C578D7">
            <w:pPr>
              <w:jc w:val="center"/>
              <w:rPr>
                <w:rFonts w:ascii="Times New Roman" w:eastAsia="宋体" w:hAnsi="Times New Roman" w:cs="Times New Roman"/>
                <w:b/>
                <w:bCs/>
                <w:kern w:val="0"/>
                <w:szCs w:val="21"/>
                <w:lang w:bidi="ar"/>
              </w:rPr>
            </w:pPr>
            <w:bookmarkStart w:id="4" w:name="OLE_LINK3"/>
            <w:r w:rsidRPr="00A406D7">
              <w:rPr>
                <w:rFonts w:ascii="Times New Roman" w:eastAsia="宋体" w:hAnsi="Times New Roman" w:cs="Times New Roman"/>
                <w:b/>
                <w:bCs/>
                <w:kern w:val="0"/>
                <w:szCs w:val="21"/>
                <w:lang w:bidi="ar"/>
              </w:rPr>
              <w:t>Chemical Properties</w:t>
            </w:r>
            <w:bookmarkEnd w:id="4"/>
          </w:p>
        </w:tc>
        <w:tc>
          <w:tcPr>
            <w:tcW w:w="1220" w:type="dxa"/>
            <w:vAlign w:val="center"/>
          </w:tcPr>
          <w:p w:rsidR="00CC7905" w:rsidRPr="00222BBD" w:rsidRDefault="00CC7905" w:rsidP="00C578D7">
            <w:pPr>
              <w:jc w:val="center"/>
              <w:rPr>
                <w:rFonts w:ascii="Times New Roman" w:hAnsi="Times New Roman" w:cs="Times New Roman"/>
                <w:b/>
                <w:bCs/>
                <w:szCs w:val="21"/>
              </w:rPr>
            </w:pPr>
            <w:r w:rsidRPr="00222BBD">
              <w:rPr>
                <w:rFonts w:ascii="Times New Roman" w:eastAsia="宋体" w:hAnsi="Times New Roman" w:cs="Times New Roman"/>
                <w:b/>
                <w:bCs/>
                <w:color w:val="000000"/>
                <w:kern w:val="0"/>
                <w:szCs w:val="21"/>
                <w:lang w:bidi="ar"/>
              </w:rPr>
              <w:t>C</w:t>
            </w:r>
            <w:r w:rsidRPr="00222BBD">
              <w:rPr>
                <w:rFonts w:ascii="Times New Roman" w:eastAsia="宋体" w:hAnsi="Times New Roman" w:cs="Times New Roman" w:hint="eastAsia"/>
                <w:b/>
                <w:bCs/>
                <w:color w:val="000000"/>
                <w:kern w:val="0"/>
                <w:szCs w:val="21"/>
                <w:lang w:bidi="ar"/>
              </w:rPr>
              <w:t>ompound</w:t>
            </w:r>
          </w:p>
        </w:tc>
        <w:tc>
          <w:tcPr>
            <w:tcW w:w="3520" w:type="dxa"/>
            <w:vAlign w:val="center"/>
          </w:tcPr>
          <w:p w:rsidR="00CC7905" w:rsidRPr="00222BBD" w:rsidRDefault="00CC7905" w:rsidP="00C578D7">
            <w:pPr>
              <w:jc w:val="center"/>
              <w:rPr>
                <w:rFonts w:ascii="Times New Roman" w:hAnsi="Times New Roman" w:cs="Times New Roman"/>
                <w:b/>
                <w:bCs/>
                <w:szCs w:val="21"/>
              </w:rPr>
            </w:pPr>
            <w:r w:rsidRPr="00222BBD">
              <w:rPr>
                <w:rFonts w:ascii="Times New Roman" w:eastAsia="宋体" w:hAnsi="Times New Roman" w:cs="Times New Roman"/>
                <w:b/>
                <w:bCs/>
                <w:color w:val="000000"/>
                <w:kern w:val="0"/>
                <w:szCs w:val="21"/>
                <w:lang w:bidi="ar"/>
              </w:rPr>
              <w:t>C</w:t>
            </w:r>
            <w:r w:rsidRPr="00222BBD">
              <w:rPr>
                <w:rFonts w:ascii="Times New Roman" w:eastAsia="宋体" w:hAnsi="Times New Roman" w:cs="Times New Roman" w:hint="eastAsia"/>
                <w:b/>
                <w:bCs/>
                <w:color w:val="000000"/>
                <w:kern w:val="0"/>
                <w:szCs w:val="21"/>
                <w:lang w:bidi="ar"/>
              </w:rPr>
              <w:t xml:space="preserve">hemical </w:t>
            </w:r>
            <w:r w:rsidRPr="00222BBD">
              <w:rPr>
                <w:rFonts w:ascii="Times New Roman" w:eastAsia="宋体" w:hAnsi="Times New Roman" w:cs="Times New Roman"/>
                <w:b/>
                <w:bCs/>
                <w:color w:val="000000"/>
                <w:kern w:val="0"/>
                <w:szCs w:val="21"/>
                <w:lang w:bidi="ar"/>
              </w:rPr>
              <w:t>Structur</w:t>
            </w:r>
            <w:r w:rsidRPr="00222BBD">
              <w:rPr>
                <w:rFonts w:ascii="Times New Roman" w:eastAsia="宋体" w:hAnsi="Times New Roman" w:cs="Times New Roman" w:hint="eastAsia"/>
                <w:b/>
                <w:bCs/>
                <w:color w:val="000000"/>
                <w:kern w:val="0"/>
                <w:szCs w:val="21"/>
                <w:lang w:bidi="ar"/>
              </w:rPr>
              <w:t>e</w:t>
            </w:r>
          </w:p>
        </w:tc>
        <w:tc>
          <w:tcPr>
            <w:tcW w:w="899" w:type="dxa"/>
            <w:vAlign w:val="center"/>
          </w:tcPr>
          <w:p w:rsidR="00CC7905" w:rsidRPr="00222BBD" w:rsidRDefault="00CC7905" w:rsidP="00C578D7">
            <w:pPr>
              <w:jc w:val="center"/>
              <w:rPr>
                <w:rFonts w:ascii="Times New Roman" w:hAnsi="Times New Roman" w:cs="Times New Roman"/>
                <w:b/>
                <w:bCs/>
                <w:szCs w:val="21"/>
              </w:rPr>
            </w:pPr>
            <w:r w:rsidRPr="00222BBD">
              <w:rPr>
                <w:rFonts w:ascii="Times New Roman" w:hAnsi="Times New Roman" w:cs="Times New Roman"/>
                <w:b/>
                <w:bCs/>
                <w:szCs w:val="21"/>
              </w:rPr>
              <w:t>MW</w:t>
            </w:r>
          </w:p>
        </w:tc>
      </w:tr>
      <w:tr w:rsidR="00CC7905" w:rsidRPr="007B07B4" w:rsidTr="00CC7905">
        <w:trPr>
          <w:jc w:val="center"/>
        </w:trPr>
        <w:tc>
          <w:tcPr>
            <w:tcW w:w="3823" w:type="dxa"/>
            <w:vAlign w:val="center"/>
          </w:tcPr>
          <w:p w:rsidR="00CC7905" w:rsidRPr="00A406D7" w:rsidRDefault="00CC7905" w:rsidP="00C578D7">
            <w:pPr>
              <w:jc w:val="center"/>
              <w:rPr>
                <w:rFonts w:ascii="Times New Roman" w:hAnsi="Times New Roman" w:cs="Times New Roman"/>
                <w:szCs w:val="21"/>
              </w:rPr>
            </w:pPr>
            <w:bookmarkStart w:id="5" w:name="OLE_LINK4"/>
            <w:bookmarkStart w:id="6" w:name="_Hlk200661284"/>
            <w:r w:rsidRPr="00A406D7">
              <w:rPr>
                <w:rFonts w:ascii="Times New Roman" w:hAnsi="Times New Roman" w:cs="Times New Roman"/>
                <w:szCs w:val="21"/>
              </w:rPr>
              <w:t>Phenylpropanoic acid</w:t>
            </w:r>
            <w:bookmarkEnd w:id="5"/>
            <w:r w:rsidRPr="00A406D7">
              <w:rPr>
                <w:rFonts w:ascii="Times New Roman" w:hAnsi="Times New Roman" w:cs="Times New Roman"/>
                <w:szCs w:val="21"/>
              </w:rPr>
              <w:t xml:space="preserve"> derivative</w:t>
            </w:r>
            <w:bookmarkEnd w:id="6"/>
          </w:p>
        </w:tc>
        <w:tc>
          <w:tcPr>
            <w:tcW w:w="4494" w:type="dxa"/>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t>The compound is insoluble in water at room temperature, and is readily soluble in organic solvents (such as DMSO, DMF). The overall structure is stable and is not easy to decompose at room temperature. It is easily hydrolyzed under acidic or alkaline conditions.</w:t>
            </w: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C1</w:t>
            </w:r>
          </w:p>
        </w:tc>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eastAsia="宋体" w:hAnsi="Times New Roman" w:cs="Times New Roman"/>
                <w:noProof/>
                <w:color w:val="000000"/>
                <w:kern w:val="0"/>
                <w:szCs w:val="21"/>
              </w:rPr>
              <w:drawing>
                <wp:inline distT="0" distB="0" distL="0" distR="0" wp14:anchorId="6E7EE309" wp14:editId="14D8C8E8">
                  <wp:extent cx="1552575" cy="165387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6818" cy="1722309"/>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eastAsia="宋体" w:hAnsi="Times New Roman" w:cs="Times New Roman"/>
                <w:color w:val="000000"/>
                <w:kern w:val="0"/>
                <w:szCs w:val="21"/>
                <w:lang w:bidi="ar"/>
              </w:rPr>
              <w:t>601.25</w:t>
            </w:r>
          </w:p>
        </w:tc>
      </w:tr>
      <w:tr w:rsidR="00CC7905" w:rsidRPr="007B07B4" w:rsidTr="00CC7905">
        <w:trPr>
          <w:jc w:val="center"/>
        </w:trPr>
        <w:tc>
          <w:tcPr>
            <w:tcW w:w="3823" w:type="dxa"/>
            <w:vMerge w:val="restart"/>
            <w:vAlign w:val="center"/>
          </w:tcPr>
          <w:p w:rsidR="00CC7905" w:rsidRPr="00A406D7" w:rsidRDefault="00CC7905" w:rsidP="00C578D7">
            <w:pPr>
              <w:jc w:val="center"/>
              <w:rPr>
                <w:rFonts w:ascii="Times New Roman" w:hAnsi="Times New Roman" w:cs="Times New Roman"/>
                <w:szCs w:val="21"/>
              </w:rPr>
            </w:pPr>
            <w:bookmarkStart w:id="7" w:name="_Hlk200661454"/>
            <w:r w:rsidRPr="00A406D7">
              <w:rPr>
                <w:rFonts w:ascii="Times New Roman" w:hAnsi="Times New Roman" w:cs="Times New Roman"/>
                <w:szCs w:val="21"/>
              </w:rPr>
              <w:t xml:space="preserve">1,2,3,4-Tetrahydroisoquinoline </w:t>
            </w:r>
            <w:bookmarkStart w:id="8" w:name="OLE_LINK2"/>
            <w:r w:rsidRPr="00A406D7">
              <w:rPr>
                <w:rFonts w:ascii="Times New Roman" w:hAnsi="Times New Roman" w:cs="Times New Roman"/>
                <w:szCs w:val="21"/>
              </w:rPr>
              <w:t>derivative</w:t>
            </w:r>
            <w:bookmarkEnd w:id="7"/>
            <w:bookmarkEnd w:id="8"/>
          </w:p>
        </w:tc>
        <w:tc>
          <w:tcPr>
            <w:tcW w:w="4494" w:type="dxa"/>
            <w:vMerge w:val="restart"/>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t>The compounds are insoluble in water at room temperature, and are readily soluble in organic solvents (such as DMSO, DMF). The compounds may decompose at high temperatures. They are easily hydrolyzed under acidic or alkaline conditions.</w:t>
            </w: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C2</w:t>
            </w:r>
          </w:p>
        </w:tc>
        <w:tc>
          <w:tcPr>
            <w:tcW w:w="3520" w:type="dxa"/>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noProof/>
                <w:szCs w:val="21"/>
              </w:rPr>
              <w:drawing>
                <wp:inline distT="0" distB="0" distL="0" distR="0" wp14:anchorId="5BA030D7" wp14:editId="2B7E89AA">
                  <wp:extent cx="1794159" cy="721995"/>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6761" cy="735115"/>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eastAsia="宋体" w:hAnsi="Times New Roman" w:cs="Times New Roman"/>
                <w:color w:val="000000"/>
                <w:kern w:val="0"/>
                <w:szCs w:val="21"/>
                <w:lang w:bidi="ar"/>
              </w:rPr>
              <w:t>599.23</w:t>
            </w:r>
          </w:p>
        </w:tc>
      </w:tr>
      <w:tr w:rsidR="00CC7905" w:rsidRPr="007B07B4" w:rsidTr="00CC7905">
        <w:trPr>
          <w:jc w:val="center"/>
        </w:trPr>
        <w:tc>
          <w:tcPr>
            <w:tcW w:w="3823" w:type="dxa"/>
            <w:vMerge/>
          </w:tcPr>
          <w:p w:rsidR="00CC7905" w:rsidRPr="00A406D7" w:rsidRDefault="00CC7905" w:rsidP="00C578D7">
            <w:pPr>
              <w:jc w:val="center"/>
              <w:rPr>
                <w:rFonts w:ascii="Times New Roman" w:hAnsi="Times New Roman" w:cs="Times New Roman"/>
                <w:szCs w:val="21"/>
              </w:rPr>
            </w:pPr>
          </w:p>
        </w:tc>
        <w:tc>
          <w:tcPr>
            <w:tcW w:w="4494" w:type="dxa"/>
            <w:vMerge/>
          </w:tcPr>
          <w:p w:rsidR="00CC7905" w:rsidRPr="00A406D7" w:rsidRDefault="00CC7905" w:rsidP="00C578D7">
            <w:pPr>
              <w:jc w:val="center"/>
              <w:rPr>
                <w:rFonts w:ascii="Times New Roman" w:hAnsi="Times New Roman" w:cs="Times New Roman"/>
                <w:szCs w:val="21"/>
              </w:rPr>
            </w:pP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C3</w:t>
            </w:r>
          </w:p>
        </w:tc>
        <w:tc>
          <w:tcPr>
            <w:tcW w:w="3520" w:type="dxa"/>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noProof/>
                <w:szCs w:val="21"/>
              </w:rPr>
              <w:drawing>
                <wp:inline distT="0" distB="0" distL="0" distR="0" wp14:anchorId="30740544" wp14:editId="6DFAD89E">
                  <wp:extent cx="1504950" cy="958496"/>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0951" cy="968687"/>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eastAsia="宋体" w:hAnsi="Times New Roman" w:cs="Times New Roman"/>
                <w:color w:val="000000"/>
                <w:kern w:val="0"/>
                <w:szCs w:val="21"/>
                <w:lang w:bidi="ar"/>
              </w:rPr>
              <w:t>486.20</w:t>
            </w:r>
          </w:p>
        </w:tc>
      </w:tr>
      <w:tr w:rsidR="00CC7905" w:rsidRPr="007B07B4" w:rsidTr="00CC7905">
        <w:trPr>
          <w:jc w:val="center"/>
        </w:trPr>
        <w:tc>
          <w:tcPr>
            <w:tcW w:w="3823" w:type="dxa"/>
            <w:vMerge/>
          </w:tcPr>
          <w:p w:rsidR="00CC7905" w:rsidRPr="00A406D7" w:rsidRDefault="00CC7905" w:rsidP="00C578D7">
            <w:pPr>
              <w:jc w:val="center"/>
              <w:rPr>
                <w:rFonts w:ascii="Times New Roman" w:hAnsi="Times New Roman" w:cs="Times New Roman"/>
                <w:szCs w:val="21"/>
              </w:rPr>
            </w:pPr>
          </w:p>
        </w:tc>
        <w:tc>
          <w:tcPr>
            <w:tcW w:w="4494" w:type="dxa"/>
            <w:vMerge/>
          </w:tcPr>
          <w:p w:rsidR="00CC7905" w:rsidRPr="00A406D7" w:rsidRDefault="00CC7905" w:rsidP="00C578D7">
            <w:pPr>
              <w:jc w:val="center"/>
              <w:rPr>
                <w:rFonts w:ascii="Times New Roman" w:hAnsi="Times New Roman" w:cs="Times New Roman"/>
                <w:szCs w:val="21"/>
              </w:rPr>
            </w:pP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C4</w:t>
            </w:r>
          </w:p>
        </w:tc>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noProof/>
                <w:szCs w:val="21"/>
              </w:rPr>
              <w:drawing>
                <wp:inline distT="0" distB="0" distL="0" distR="0" wp14:anchorId="4B551A36" wp14:editId="1ADB6A5A">
                  <wp:extent cx="1504950" cy="107388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6855" cy="1082382"/>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eastAsia="宋体" w:hAnsi="Times New Roman" w:cs="Times New Roman"/>
                <w:color w:val="000000"/>
                <w:kern w:val="0"/>
                <w:szCs w:val="21"/>
                <w:lang w:bidi="ar"/>
              </w:rPr>
              <w:t>593.22</w:t>
            </w:r>
          </w:p>
        </w:tc>
      </w:tr>
      <w:tr w:rsidR="00CC7905" w:rsidRPr="007B07B4" w:rsidTr="00CC7905">
        <w:trPr>
          <w:jc w:val="center"/>
        </w:trPr>
        <w:tc>
          <w:tcPr>
            <w:tcW w:w="3823" w:type="dxa"/>
            <w:vMerge w:val="restart"/>
            <w:vAlign w:val="center"/>
          </w:tcPr>
          <w:p w:rsidR="00CC7905" w:rsidRPr="00A406D7" w:rsidRDefault="00CC7905" w:rsidP="00C578D7">
            <w:pPr>
              <w:jc w:val="center"/>
              <w:rPr>
                <w:rFonts w:ascii="Times New Roman" w:hAnsi="Times New Roman" w:cs="Times New Roman"/>
                <w:szCs w:val="21"/>
              </w:rPr>
            </w:pPr>
            <w:bookmarkStart w:id="9" w:name="OLE_LINK5"/>
            <w:r w:rsidRPr="00A406D7">
              <w:rPr>
                <w:rFonts w:ascii="Times New Roman" w:hAnsi="Times New Roman" w:cs="Times New Roman"/>
                <w:szCs w:val="21"/>
              </w:rPr>
              <w:lastRenderedPageBreak/>
              <w:t>Oleanolic acid saponin</w:t>
            </w:r>
            <w:bookmarkEnd w:id="9"/>
            <w:r w:rsidRPr="00A406D7">
              <w:rPr>
                <w:rFonts w:ascii="Times New Roman" w:hAnsi="Times New Roman" w:cs="Times New Roman"/>
                <w:szCs w:val="21"/>
              </w:rPr>
              <w:t xml:space="preserve"> derivative</w:t>
            </w:r>
          </w:p>
        </w:tc>
        <w:tc>
          <w:tcPr>
            <w:tcW w:w="4494" w:type="dxa"/>
            <w:vMerge w:val="restart"/>
            <w:vAlign w:val="center"/>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t>The compounds are readily soluble in organic solvents (such as DMSO, ethanol, DMF). The compounds may decompose at high temperatures. They are easily hydrolyzed under acidic or alkaline conditions. Oleanolic acid saponin derivatives possess potential anticancer activities.</w:t>
            </w: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C5</w:t>
            </w:r>
          </w:p>
        </w:tc>
        <w:tc>
          <w:tcPr>
            <w:tcW w:w="3520" w:type="dxa"/>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object w:dxaOrig="5783" w:dyaOrig="3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99pt" o:ole="">
                  <v:imagedata r:id="rId17" o:title=""/>
                </v:shape>
                <o:OLEObject Type="Embed" ProgID="ChemDraw.Document.6.0" ShapeID="_x0000_i1025" DrawAspect="Content" ObjectID="_1837326921" r:id="rId18"/>
              </w:object>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1004.53</w:t>
            </w:r>
          </w:p>
        </w:tc>
      </w:tr>
      <w:tr w:rsidR="00CC7905" w:rsidRPr="007B07B4" w:rsidTr="00CC7905">
        <w:trPr>
          <w:jc w:val="center"/>
        </w:trPr>
        <w:tc>
          <w:tcPr>
            <w:tcW w:w="3823" w:type="dxa"/>
            <w:vMerge/>
          </w:tcPr>
          <w:p w:rsidR="00CC7905" w:rsidRPr="00A406D7" w:rsidRDefault="00CC7905" w:rsidP="00C578D7">
            <w:pPr>
              <w:jc w:val="center"/>
              <w:rPr>
                <w:rFonts w:ascii="Times New Roman" w:hAnsi="Times New Roman" w:cs="Times New Roman"/>
                <w:szCs w:val="21"/>
              </w:rPr>
            </w:pPr>
          </w:p>
        </w:tc>
        <w:tc>
          <w:tcPr>
            <w:tcW w:w="4494" w:type="dxa"/>
            <w:vMerge/>
          </w:tcPr>
          <w:p w:rsidR="00CC7905" w:rsidRPr="00A406D7" w:rsidRDefault="00CC7905" w:rsidP="00C578D7">
            <w:pPr>
              <w:jc w:val="center"/>
              <w:rPr>
                <w:rFonts w:ascii="Times New Roman" w:hAnsi="Times New Roman" w:cs="Times New Roman"/>
                <w:szCs w:val="21"/>
              </w:rPr>
            </w:pP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C6</w:t>
            </w:r>
          </w:p>
        </w:tc>
        <w:tc>
          <w:tcPr>
            <w:tcW w:w="3520" w:type="dxa"/>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object w:dxaOrig="4672" w:dyaOrig="3628">
                <v:shape id="_x0000_i1026" type="#_x0000_t75" style="width:144.75pt;height:114pt" o:ole="">
                  <v:imagedata r:id="rId19" o:title=""/>
                </v:shape>
                <o:OLEObject Type="Embed" ProgID="ChemDraw.Document.6.0" ShapeID="_x0000_i1026" DrawAspect="Content" ObjectID="_1837326922" r:id="rId20"/>
              </w:object>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1164.69</w:t>
            </w:r>
          </w:p>
        </w:tc>
      </w:tr>
      <w:tr w:rsidR="00CC7905" w:rsidRPr="007B07B4" w:rsidTr="00CC7905">
        <w:trPr>
          <w:jc w:val="center"/>
        </w:trPr>
        <w:tc>
          <w:tcPr>
            <w:tcW w:w="3823" w:type="dxa"/>
            <w:vMerge/>
          </w:tcPr>
          <w:p w:rsidR="00CC7905" w:rsidRPr="00A406D7" w:rsidRDefault="00CC7905" w:rsidP="00C578D7">
            <w:pPr>
              <w:jc w:val="center"/>
              <w:rPr>
                <w:rFonts w:ascii="Times New Roman" w:hAnsi="Times New Roman" w:cs="Times New Roman"/>
                <w:szCs w:val="21"/>
              </w:rPr>
            </w:pPr>
          </w:p>
        </w:tc>
        <w:tc>
          <w:tcPr>
            <w:tcW w:w="4494" w:type="dxa"/>
            <w:vMerge/>
          </w:tcPr>
          <w:p w:rsidR="00CC7905" w:rsidRPr="00A406D7" w:rsidRDefault="00CC7905" w:rsidP="00C578D7">
            <w:pPr>
              <w:jc w:val="center"/>
              <w:rPr>
                <w:rFonts w:ascii="Times New Roman" w:hAnsi="Times New Roman" w:cs="Times New Roman"/>
                <w:szCs w:val="21"/>
              </w:rPr>
            </w:pP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C7</w:t>
            </w:r>
          </w:p>
        </w:tc>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object w:dxaOrig="4402" w:dyaOrig="2256">
                <v:shape id="_x0000_i1027" type="#_x0000_t75" style="width:144.75pt;height:75pt" o:ole="">
                  <v:imagedata r:id="rId21" o:title=""/>
                </v:shape>
                <o:OLEObject Type="Embed" ProgID="ChemDraw.Document.6.0" ShapeID="_x0000_i1027" DrawAspect="Content" ObjectID="_1837326923" r:id="rId22"/>
              </w:object>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632.43</w:t>
            </w:r>
          </w:p>
        </w:tc>
      </w:tr>
      <w:tr w:rsidR="00CC7905" w:rsidRPr="007B07B4" w:rsidTr="00CC7905">
        <w:trPr>
          <w:jc w:val="center"/>
        </w:trPr>
        <w:tc>
          <w:tcPr>
            <w:tcW w:w="3823" w:type="dxa"/>
            <w:vAlign w:val="center"/>
          </w:tcPr>
          <w:p w:rsidR="00CC7905" w:rsidRPr="00A406D7" w:rsidRDefault="00CC7905" w:rsidP="00C578D7">
            <w:pPr>
              <w:jc w:val="center"/>
              <w:rPr>
                <w:rFonts w:ascii="Times New Roman" w:hAnsi="Times New Roman" w:cs="Times New Roman"/>
                <w:szCs w:val="21"/>
              </w:rPr>
            </w:pPr>
            <w:bookmarkStart w:id="10" w:name="_Hlk200661558"/>
            <w:bookmarkStart w:id="11" w:name="OLE_LINK7"/>
            <w:r w:rsidRPr="00A406D7">
              <w:rPr>
                <w:rFonts w:ascii="Times New Roman" w:hAnsi="Times New Roman" w:cs="Times New Roman"/>
                <w:szCs w:val="21"/>
              </w:rPr>
              <w:t>Oleanolic acid</w:t>
            </w:r>
            <w:bookmarkEnd w:id="10"/>
            <w:r w:rsidRPr="00A406D7">
              <w:rPr>
                <w:rFonts w:ascii="Times New Roman" w:hAnsi="Times New Roman" w:cs="Times New Roman"/>
                <w:szCs w:val="21"/>
              </w:rPr>
              <w:t xml:space="preserve"> amide derivative</w:t>
            </w:r>
            <w:bookmarkEnd w:id="11"/>
          </w:p>
        </w:tc>
        <w:tc>
          <w:tcPr>
            <w:tcW w:w="4494" w:type="dxa"/>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t xml:space="preserve">The compound </w:t>
            </w:r>
            <w:bookmarkStart w:id="12" w:name="OLE_LINK10"/>
            <w:r w:rsidRPr="00A406D7">
              <w:rPr>
                <w:rFonts w:ascii="Times New Roman" w:hAnsi="Times New Roman" w:cs="Times New Roman"/>
                <w:szCs w:val="21"/>
              </w:rPr>
              <w:t>possesses extremely weak acidity</w:t>
            </w:r>
            <w:bookmarkEnd w:id="12"/>
            <w:r w:rsidRPr="00A406D7">
              <w:rPr>
                <w:rFonts w:ascii="Times New Roman" w:hAnsi="Times New Roman" w:cs="Times New Roman"/>
                <w:szCs w:val="21"/>
              </w:rPr>
              <w:t xml:space="preserve"> and hydrolytic stability. It is readily soluble in organic solvents (such as DMSO, chloroform, acetone). It may decompose at high temperatures.</w:t>
            </w: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C8</w:t>
            </w:r>
          </w:p>
        </w:tc>
        <w:bookmarkStart w:id="13" w:name="OLE_LINK8"/>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object w:dxaOrig="4034" w:dyaOrig="2117">
                <v:shape id="_x0000_i1028" type="#_x0000_t75" style="width:145.5pt;height:75.75pt" o:ole="">
                  <v:imagedata r:id="rId23" o:title=""/>
                </v:shape>
                <o:OLEObject Type="Embed" ProgID="ChemDraw.Document.6.0" ShapeID="_x0000_i1028" DrawAspect="Content" ObjectID="_1837326924" r:id="rId24"/>
              </w:object>
            </w:r>
            <w:bookmarkEnd w:id="13"/>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561.42</w:t>
            </w:r>
          </w:p>
        </w:tc>
      </w:tr>
      <w:tr w:rsidR="00CC7905" w:rsidRPr="007B07B4" w:rsidTr="00CC7905">
        <w:trPr>
          <w:trHeight w:val="1962"/>
          <w:jc w:val="center"/>
        </w:trPr>
        <w:tc>
          <w:tcPr>
            <w:tcW w:w="3823" w:type="dxa"/>
            <w:vMerge w:val="restart"/>
            <w:vAlign w:val="center"/>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lastRenderedPageBreak/>
              <w:t>Oleanolic acid saponin derivative</w:t>
            </w:r>
          </w:p>
        </w:tc>
        <w:tc>
          <w:tcPr>
            <w:tcW w:w="4494" w:type="dxa"/>
            <w:vMerge w:val="restart"/>
            <w:vAlign w:val="center"/>
          </w:tcPr>
          <w:p w:rsidR="00CC7905" w:rsidRPr="00A406D7" w:rsidRDefault="00CC7905" w:rsidP="00C578D7">
            <w:pPr>
              <w:jc w:val="center"/>
              <w:rPr>
                <w:rFonts w:ascii="Times New Roman" w:hAnsi="Times New Roman" w:cs="Times New Roman"/>
                <w:szCs w:val="21"/>
              </w:rPr>
            </w:pPr>
            <w:r w:rsidRPr="00A406D7">
              <w:rPr>
                <w:rFonts w:ascii="Times New Roman" w:hAnsi="Times New Roman" w:cs="Times New Roman"/>
                <w:szCs w:val="21"/>
              </w:rPr>
              <w:t>The two compounds are readily soluble in water. The compounds may decompose at high temperatures. They are easily hydrolyzed under acidic or alkaline conditions. C9 possesses acidity and has potential to bind to steroid receptors.</w:t>
            </w: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C9</w:t>
            </w:r>
          </w:p>
        </w:tc>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noProof/>
                <w:szCs w:val="21"/>
              </w:rPr>
              <w:drawing>
                <wp:inline distT="0" distB="0" distL="0" distR="0" wp14:anchorId="6CD864BA" wp14:editId="449D12BB">
                  <wp:extent cx="2098608" cy="1073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1039" cy="1079507"/>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1018.27</w:t>
            </w:r>
          </w:p>
        </w:tc>
      </w:tr>
      <w:tr w:rsidR="00CC7905" w:rsidRPr="007B07B4" w:rsidTr="00CC7905">
        <w:trPr>
          <w:jc w:val="center"/>
        </w:trPr>
        <w:tc>
          <w:tcPr>
            <w:tcW w:w="3823" w:type="dxa"/>
            <w:vMerge/>
          </w:tcPr>
          <w:p w:rsidR="00CC7905" w:rsidRPr="00222BBD" w:rsidRDefault="00CC7905" w:rsidP="00C578D7">
            <w:pPr>
              <w:jc w:val="center"/>
              <w:rPr>
                <w:rFonts w:ascii="Times New Roman" w:hAnsi="Times New Roman" w:cs="Times New Roman"/>
                <w:szCs w:val="21"/>
              </w:rPr>
            </w:pPr>
          </w:p>
        </w:tc>
        <w:tc>
          <w:tcPr>
            <w:tcW w:w="4494" w:type="dxa"/>
            <w:vMerge/>
          </w:tcPr>
          <w:p w:rsidR="00CC7905" w:rsidRPr="00222BBD" w:rsidRDefault="00CC7905" w:rsidP="00C578D7">
            <w:pPr>
              <w:jc w:val="center"/>
              <w:rPr>
                <w:rFonts w:ascii="Times New Roman" w:hAnsi="Times New Roman" w:cs="Times New Roman"/>
                <w:szCs w:val="21"/>
              </w:rPr>
            </w:pPr>
          </w:p>
        </w:tc>
        <w:tc>
          <w:tcPr>
            <w:tcW w:w="12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C10</w:t>
            </w:r>
          </w:p>
        </w:tc>
        <w:tc>
          <w:tcPr>
            <w:tcW w:w="3520"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noProof/>
                <w:szCs w:val="21"/>
              </w:rPr>
              <w:drawing>
                <wp:inline distT="0" distB="0" distL="0" distR="0" wp14:anchorId="58E45DC8" wp14:editId="4BEEB74B">
                  <wp:extent cx="2043701" cy="114641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4346" cy="1146774"/>
                          </a:xfrm>
                          <a:prstGeom prst="rect">
                            <a:avLst/>
                          </a:prstGeom>
                          <a:noFill/>
                          <a:ln>
                            <a:noFill/>
                          </a:ln>
                        </pic:spPr>
                      </pic:pic>
                    </a:graphicData>
                  </a:graphic>
                </wp:inline>
              </w:drawing>
            </w:r>
          </w:p>
        </w:tc>
        <w:tc>
          <w:tcPr>
            <w:tcW w:w="899" w:type="dxa"/>
            <w:vAlign w:val="center"/>
          </w:tcPr>
          <w:p w:rsidR="00CC7905" w:rsidRPr="00222BBD" w:rsidRDefault="00CC7905" w:rsidP="00C578D7">
            <w:pPr>
              <w:jc w:val="center"/>
              <w:rPr>
                <w:rFonts w:ascii="Times New Roman" w:hAnsi="Times New Roman" w:cs="Times New Roman"/>
                <w:szCs w:val="21"/>
              </w:rPr>
            </w:pPr>
            <w:r w:rsidRPr="00222BBD">
              <w:rPr>
                <w:rFonts w:ascii="Times New Roman" w:hAnsi="Times New Roman" w:cs="Times New Roman"/>
                <w:szCs w:val="21"/>
              </w:rPr>
              <w:t>1000.28</w:t>
            </w:r>
          </w:p>
        </w:tc>
      </w:tr>
    </w:tbl>
    <w:p w:rsidR="00CC7905" w:rsidRPr="00A80D1E" w:rsidRDefault="00CC7905" w:rsidP="00CC7905">
      <w:pPr>
        <w:spacing w:line="360" w:lineRule="auto"/>
        <w:rPr>
          <w:rFonts w:ascii="Times New Roman" w:hAnsi="Times New Roman" w:cs="Times New Roman"/>
          <w:color w:val="000000" w:themeColor="text1"/>
          <w:sz w:val="24"/>
          <w:szCs w:val="24"/>
        </w:rPr>
      </w:pPr>
    </w:p>
    <w:p w:rsidR="00CC7905" w:rsidRDefault="00CC7905"/>
    <w:sectPr w:rsidR="00CC7905" w:rsidSect="00CC790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795" w:rsidRDefault="00CC4795" w:rsidP="00CC7905">
      <w:r>
        <w:separator/>
      </w:r>
    </w:p>
  </w:endnote>
  <w:endnote w:type="continuationSeparator" w:id="0">
    <w:p w:rsidR="00CC4795" w:rsidRDefault="00CC4795" w:rsidP="00CC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SC">
    <w:panose1 w:val="020B0200000000000000"/>
    <w:charset w:val="86"/>
    <w:family w:val="swiss"/>
    <w:pitch w:val="variable"/>
    <w:sig w:usb0="20000287" w:usb1="2ADF3C10" w:usb2="00000016" w:usb3="00000000" w:csb0="00060107"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795" w:rsidRDefault="00CC4795" w:rsidP="00CC7905">
      <w:r>
        <w:separator/>
      </w:r>
    </w:p>
  </w:footnote>
  <w:footnote w:type="continuationSeparator" w:id="0">
    <w:p w:rsidR="00CC4795" w:rsidRDefault="00CC4795" w:rsidP="00CC79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D3D"/>
    <w:rsid w:val="00045564"/>
    <w:rsid w:val="0028034A"/>
    <w:rsid w:val="004E48E9"/>
    <w:rsid w:val="00911D3D"/>
    <w:rsid w:val="00CA7C4B"/>
    <w:rsid w:val="00CC4795"/>
    <w:rsid w:val="00CC7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E4D2DE-6D2B-40AF-86E4-3EE4E43A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9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7905"/>
    <w:pPr>
      <w:tabs>
        <w:tab w:val="center" w:pos="4153"/>
        <w:tab w:val="right" w:pos="8306"/>
      </w:tabs>
    </w:pPr>
  </w:style>
  <w:style w:type="character" w:customStyle="1" w:styleId="Char">
    <w:name w:val="页眉 Char"/>
    <w:basedOn w:val="a0"/>
    <w:link w:val="a3"/>
    <w:uiPriority w:val="99"/>
    <w:rsid w:val="00CC7905"/>
  </w:style>
  <w:style w:type="paragraph" w:styleId="a4">
    <w:name w:val="footer"/>
    <w:basedOn w:val="a"/>
    <w:link w:val="Char0"/>
    <w:uiPriority w:val="99"/>
    <w:unhideWhenUsed/>
    <w:rsid w:val="00CC7905"/>
    <w:pPr>
      <w:tabs>
        <w:tab w:val="center" w:pos="4153"/>
        <w:tab w:val="right" w:pos="8306"/>
      </w:tabs>
    </w:pPr>
  </w:style>
  <w:style w:type="character" w:customStyle="1" w:styleId="Char0">
    <w:name w:val="页脚 Char"/>
    <w:basedOn w:val="a0"/>
    <w:link w:val="a4"/>
    <w:uiPriority w:val="99"/>
    <w:rsid w:val="00CC7905"/>
  </w:style>
  <w:style w:type="character" w:styleId="a5">
    <w:name w:val="Hyperlink"/>
    <w:basedOn w:val="a0"/>
    <w:uiPriority w:val="99"/>
    <w:unhideWhenUsed/>
    <w:rsid w:val="00CC7905"/>
    <w:rPr>
      <w:rFonts w:ascii="Times New Roman" w:eastAsia="Times New Roman" w:hAnsi="Times New Roman" w:cs="Times New Roman"/>
      <w:color w:val="0563C1" w:themeColor="hyperlink"/>
      <w:sz w:val="24"/>
      <w:szCs w:val="24"/>
      <w:u w:val="single"/>
    </w:rPr>
  </w:style>
  <w:style w:type="paragraph" w:styleId="a6">
    <w:name w:val="Normal (Web)"/>
    <w:basedOn w:val="a"/>
    <w:rsid w:val="00CC7905"/>
    <w:pPr>
      <w:spacing w:before="100" w:beforeAutospacing="1" w:after="100" w:afterAutospacing="1"/>
      <w:jc w:val="left"/>
    </w:pPr>
    <w:rPr>
      <w:rFonts w:ascii="Calibri" w:eastAsia="宋体" w:hAnsi="Calibri" w:cs="Times New Roman"/>
      <w:kern w:val="0"/>
      <w:sz w:val="24"/>
      <w:szCs w:val="24"/>
    </w:rPr>
  </w:style>
  <w:style w:type="table" w:styleId="a7">
    <w:name w:val="Table Grid"/>
    <w:basedOn w:val="a1"/>
    <w:uiPriority w:val="39"/>
    <w:rsid w:val="00CC7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emf"/><Relationship Id="rId18" Type="http://schemas.openxmlformats.org/officeDocument/2006/relationships/oleObject" Target="embeddings/oleObject1.bin"/><Relationship Id="rId26" Type="http://schemas.openxmlformats.org/officeDocument/2006/relationships/image" Target="media/image15.emf"/><Relationship Id="rId3" Type="http://schemas.openxmlformats.org/officeDocument/2006/relationships/webSettings" Target="webSettings.xml"/><Relationship Id="rId21" Type="http://schemas.openxmlformats.org/officeDocument/2006/relationships/image" Target="media/image12.emf"/><Relationship Id="rId7" Type="http://schemas.openxmlformats.org/officeDocument/2006/relationships/hyperlink" Target="mailto:libinana@126.com" TargetMode="Externa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oleObject" Target="embeddings/oleObject2.bin"/><Relationship Id="rId1" Type="http://schemas.openxmlformats.org/officeDocument/2006/relationships/styles" Target="styles.xml"/><Relationship Id="rId6" Type="http://schemas.openxmlformats.org/officeDocument/2006/relationships/hyperlink" Target="mailto:siyuan.ding@wustl.edu" TargetMode="External"/><Relationship Id="rId11" Type="http://schemas.openxmlformats.org/officeDocument/2006/relationships/image" Target="media/image4.tiff"/><Relationship Id="rId24" Type="http://schemas.openxmlformats.org/officeDocument/2006/relationships/oleObject" Target="embeddings/oleObject4.bin"/><Relationship Id="rId5"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emf"/><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797</Words>
  <Characters>4545</Characters>
  <Application>Microsoft Office Word</Application>
  <DocSecurity>0</DocSecurity>
  <Lines>37</Lines>
  <Paragraphs>10</Paragraphs>
  <ScaleCrop>false</ScaleCrop>
  <Company>神州网信技术有限公司</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virolo sin</dc:creator>
  <cp:keywords/>
  <dc:description/>
  <cp:lastModifiedBy>virolo sin</cp:lastModifiedBy>
  <cp:revision>3</cp:revision>
  <dcterms:created xsi:type="dcterms:W3CDTF">2026-04-10T03:03:00Z</dcterms:created>
  <dcterms:modified xsi:type="dcterms:W3CDTF">2026-04-10T03:48:00Z</dcterms:modified>
</cp:coreProperties>
</file>