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79D" w:rsidRPr="0070579D" w:rsidRDefault="0070579D" w:rsidP="00FF2D31">
      <w:pPr>
        <w:spacing w:line="440" w:lineRule="exact"/>
        <w:rPr>
          <w:b/>
          <w:i/>
          <w:color w:val="231F20"/>
          <w:sz w:val="24"/>
        </w:rPr>
      </w:pPr>
      <w:proofErr w:type="spellStart"/>
      <w:r w:rsidRPr="0070579D">
        <w:rPr>
          <w:b/>
          <w:i/>
          <w:color w:val="231F20"/>
          <w:sz w:val="24"/>
        </w:rPr>
        <w:t>Virologica</w:t>
      </w:r>
      <w:proofErr w:type="spellEnd"/>
      <w:r w:rsidRPr="0070579D">
        <w:rPr>
          <w:b/>
          <w:i/>
          <w:color w:val="231F20"/>
          <w:sz w:val="24"/>
        </w:rPr>
        <w:t xml:space="preserve"> </w:t>
      </w:r>
      <w:proofErr w:type="spellStart"/>
      <w:r w:rsidRPr="0070579D">
        <w:rPr>
          <w:b/>
          <w:i/>
          <w:color w:val="231F20"/>
          <w:sz w:val="24"/>
        </w:rPr>
        <w:t>Sinica</w:t>
      </w:r>
      <w:proofErr w:type="spellEnd"/>
    </w:p>
    <w:p w:rsidR="00FF2D31" w:rsidRDefault="008300DB" w:rsidP="00FF2D31">
      <w:pPr>
        <w:spacing w:line="440" w:lineRule="exact"/>
        <w:rPr>
          <w:b/>
          <w:color w:val="231F20"/>
          <w:sz w:val="24"/>
        </w:rPr>
      </w:pPr>
      <w:r>
        <w:rPr>
          <w:b/>
          <w:color w:val="231F20"/>
          <w:sz w:val="24"/>
        </w:rPr>
        <w:t>Supplementary Materials</w:t>
      </w:r>
    </w:p>
    <w:p w:rsidR="008300DB" w:rsidRDefault="008300DB" w:rsidP="00FF2D31">
      <w:pPr>
        <w:spacing w:line="440" w:lineRule="exact"/>
        <w:rPr>
          <w:b/>
          <w:color w:val="231F20"/>
          <w:sz w:val="24"/>
        </w:rPr>
      </w:pPr>
    </w:p>
    <w:p w:rsidR="008300DB" w:rsidRDefault="008300DB" w:rsidP="008300DB">
      <w:pPr>
        <w:spacing w:line="440" w:lineRule="exact"/>
        <w:jc w:val="left"/>
        <w:rPr>
          <w:b/>
          <w:sz w:val="28"/>
        </w:rPr>
      </w:pPr>
      <w:r>
        <w:rPr>
          <w:b/>
          <w:sz w:val="28"/>
        </w:rPr>
        <w:t>STING1 negatively regulates translation and replication of Foot-and-Mouth Disease Virus independently of interferon and is antagonized by the viral proteins 3C and 2B</w:t>
      </w:r>
    </w:p>
    <w:p w:rsidR="008300DB" w:rsidRDefault="008300DB" w:rsidP="008300DB">
      <w:pPr>
        <w:spacing w:beforeLines="50" w:before="156" w:afterLines="50" w:after="156" w:line="440" w:lineRule="exact"/>
        <w:rPr>
          <w:sz w:val="24"/>
        </w:rPr>
      </w:pPr>
      <w:proofErr w:type="spellStart"/>
      <w:r>
        <w:rPr>
          <w:sz w:val="24"/>
        </w:rPr>
        <w:t>Wenhua</w:t>
      </w:r>
      <w:proofErr w:type="spellEnd"/>
      <w:r>
        <w:rPr>
          <w:sz w:val="24"/>
        </w:rPr>
        <w:t xml:space="preserve"> Shao</w:t>
      </w:r>
      <w:r>
        <w:rPr>
          <w:sz w:val="24"/>
          <w:vertAlign w:val="superscript"/>
        </w:rPr>
        <w:t>a,b,1</w:t>
      </w:r>
      <w:r>
        <w:rPr>
          <w:sz w:val="24"/>
        </w:rPr>
        <w:t>, Wei Zhang</w:t>
      </w:r>
      <w:r>
        <w:rPr>
          <w:sz w:val="24"/>
          <w:vertAlign w:val="superscript"/>
        </w:rPr>
        <w:t>b,1,*</w:t>
      </w:r>
      <w:r>
        <w:rPr>
          <w:sz w:val="24"/>
        </w:rPr>
        <w:t xml:space="preserve">, </w:t>
      </w:r>
      <w:proofErr w:type="spellStart"/>
      <w:r>
        <w:rPr>
          <w:sz w:val="24"/>
        </w:rPr>
        <w:t>Zhitong</w:t>
      </w:r>
      <w:proofErr w:type="spellEnd"/>
      <w:r>
        <w:rPr>
          <w:sz w:val="24"/>
        </w:rPr>
        <w:t xml:space="preserve"> Chen</w:t>
      </w:r>
      <w:r>
        <w:rPr>
          <w:sz w:val="24"/>
          <w:vertAlign w:val="superscript"/>
        </w:rPr>
        <w:t>b,1</w:t>
      </w:r>
      <w:r>
        <w:rPr>
          <w:sz w:val="24"/>
        </w:rPr>
        <w:t xml:space="preserve">, </w:t>
      </w:r>
      <w:proofErr w:type="spellStart"/>
      <w:r>
        <w:rPr>
          <w:sz w:val="24"/>
        </w:rPr>
        <w:t>Tingting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Zhou</w:t>
      </w:r>
      <w:r>
        <w:rPr>
          <w:sz w:val="24"/>
          <w:vertAlign w:val="superscript"/>
        </w:rPr>
        <w:t>b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Xiaoyi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Zhao</w:t>
      </w:r>
      <w:r>
        <w:rPr>
          <w:sz w:val="24"/>
          <w:vertAlign w:val="superscript"/>
        </w:rPr>
        <w:t>b</w:t>
      </w:r>
      <w:proofErr w:type="spellEnd"/>
      <w:r>
        <w:rPr>
          <w:sz w:val="24"/>
        </w:rPr>
        <w:t>,</w:t>
      </w:r>
      <w:r>
        <w:rPr>
          <w:sz w:val="24"/>
          <w:vertAlign w:val="superscript"/>
        </w:rPr>
        <w:t xml:space="preserve"> </w:t>
      </w:r>
      <w:proofErr w:type="spellStart"/>
      <w:r>
        <w:rPr>
          <w:sz w:val="24"/>
        </w:rPr>
        <w:t>Hongyi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Liu</w:t>
      </w:r>
      <w:r>
        <w:rPr>
          <w:sz w:val="24"/>
          <w:vertAlign w:val="superscript"/>
        </w:rPr>
        <w:t>b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Chuangwei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Chen</w:t>
      </w:r>
      <w:r>
        <w:rPr>
          <w:sz w:val="24"/>
          <w:vertAlign w:val="superscript"/>
        </w:rPr>
        <w:t>b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Xingyan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Dong</w:t>
      </w:r>
      <w:r>
        <w:rPr>
          <w:sz w:val="24"/>
          <w:vertAlign w:val="superscript"/>
        </w:rPr>
        <w:t>b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Weijun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Cao</w:t>
      </w:r>
      <w:r>
        <w:rPr>
          <w:sz w:val="24"/>
          <w:vertAlign w:val="superscript"/>
        </w:rPr>
        <w:t>b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Zongsheng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Zhao</w:t>
      </w:r>
      <w:r>
        <w:rPr>
          <w:sz w:val="24"/>
          <w:vertAlign w:val="superscript"/>
        </w:rPr>
        <w:t>a</w:t>
      </w:r>
      <w:proofErr w:type="spellEnd"/>
      <w:r>
        <w:rPr>
          <w:sz w:val="24"/>
          <w:vertAlign w:val="superscript"/>
        </w:rPr>
        <w:t>,*</w:t>
      </w:r>
      <w:r>
        <w:rPr>
          <w:rFonts w:hint="eastAsia"/>
          <w:sz w:val="24"/>
        </w:rPr>
        <w:t>,</w:t>
      </w:r>
      <w:r>
        <w:rPr>
          <w:sz w:val="24"/>
        </w:rPr>
        <w:t xml:space="preserve"> Fan </w:t>
      </w:r>
      <w:proofErr w:type="spellStart"/>
      <w:r>
        <w:rPr>
          <w:sz w:val="24"/>
        </w:rPr>
        <w:t>Yang</w:t>
      </w:r>
      <w:r>
        <w:rPr>
          <w:sz w:val="24"/>
          <w:vertAlign w:val="superscript"/>
        </w:rPr>
        <w:t>b</w:t>
      </w:r>
      <w:proofErr w:type="spellEnd"/>
      <w:r>
        <w:rPr>
          <w:sz w:val="24"/>
          <w:vertAlign w:val="superscript"/>
        </w:rPr>
        <w:t>,*</w:t>
      </w:r>
      <w:r>
        <w:rPr>
          <w:sz w:val="24"/>
        </w:rPr>
        <w:t xml:space="preserve">, </w:t>
      </w:r>
      <w:proofErr w:type="spellStart"/>
      <w:r>
        <w:rPr>
          <w:sz w:val="24"/>
        </w:rPr>
        <w:t>Zixiang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Zhu</w:t>
      </w:r>
      <w:r>
        <w:rPr>
          <w:sz w:val="24"/>
          <w:vertAlign w:val="superscript"/>
        </w:rPr>
        <w:t>b</w:t>
      </w:r>
      <w:proofErr w:type="spellEnd"/>
      <w:r>
        <w:rPr>
          <w:sz w:val="24"/>
          <w:vertAlign w:val="superscript"/>
        </w:rPr>
        <w:t>,*</w:t>
      </w:r>
      <w:r>
        <w:rPr>
          <w:rFonts w:hint="eastAsia"/>
          <w:sz w:val="24"/>
        </w:rPr>
        <w:t>,</w:t>
      </w:r>
      <w:r>
        <w:rPr>
          <w:sz w:val="24"/>
        </w:rPr>
        <w:t xml:space="preserve"> </w:t>
      </w:r>
      <w:proofErr w:type="spellStart"/>
      <w:r>
        <w:rPr>
          <w:sz w:val="24"/>
        </w:rPr>
        <w:t>Haixue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Zheng</w:t>
      </w:r>
      <w:r>
        <w:rPr>
          <w:sz w:val="24"/>
          <w:vertAlign w:val="superscript"/>
        </w:rPr>
        <w:t>b</w:t>
      </w:r>
      <w:proofErr w:type="spellEnd"/>
    </w:p>
    <w:p w:rsidR="008300DB" w:rsidRDefault="008300DB" w:rsidP="008300DB">
      <w:pPr>
        <w:spacing w:line="360" w:lineRule="auto"/>
        <w:rPr>
          <w:color w:val="231F20"/>
          <w:sz w:val="24"/>
        </w:rPr>
      </w:pPr>
      <w:proofErr w:type="spellStart"/>
      <w:proofErr w:type="gramStart"/>
      <w:r>
        <w:rPr>
          <w:color w:val="231F20"/>
          <w:sz w:val="24"/>
          <w:vertAlign w:val="superscript"/>
        </w:rPr>
        <w:t>a</w:t>
      </w:r>
      <w:r>
        <w:rPr>
          <w:color w:val="231F20"/>
          <w:sz w:val="24"/>
        </w:rPr>
        <w:t>College</w:t>
      </w:r>
      <w:proofErr w:type="spellEnd"/>
      <w:proofErr w:type="gramEnd"/>
      <w:r>
        <w:rPr>
          <w:color w:val="231F20"/>
          <w:sz w:val="24"/>
        </w:rPr>
        <w:t xml:space="preserve"> of Animal Science and Technology, </w:t>
      </w:r>
      <w:proofErr w:type="spellStart"/>
      <w:r>
        <w:rPr>
          <w:color w:val="231F20"/>
          <w:sz w:val="24"/>
        </w:rPr>
        <w:t>Shihezi</w:t>
      </w:r>
      <w:proofErr w:type="spellEnd"/>
      <w:r>
        <w:rPr>
          <w:color w:val="231F20"/>
          <w:sz w:val="24"/>
        </w:rPr>
        <w:t xml:space="preserve"> University, </w:t>
      </w:r>
      <w:proofErr w:type="spellStart"/>
      <w:r>
        <w:rPr>
          <w:color w:val="231F20"/>
          <w:sz w:val="24"/>
        </w:rPr>
        <w:t>Shihezi</w:t>
      </w:r>
      <w:proofErr w:type="spellEnd"/>
      <w:r>
        <w:rPr>
          <w:color w:val="231F20"/>
          <w:sz w:val="24"/>
        </w:rPr>
        <w:t xml:space="preserve"> 832001, China</w:t>
      </w:r>
    </w:p>
    <w:p w:rsidR="008300DB" w:rsidRDefault="008300DB" w:rsidP="008300DB">
      <w:pPr>
        <w:spacing w:line="360" w:lineRule="auto"/>
        <w:rPr>
          <w:color w:val="231F20"/>
          <w:sz w:val="24"/>
        </w:rPr>
      </w:pPr>
      <w:proofErr w:type="spellStart"/>
      <w:r>
        <w:rPr>
          <w:color w:val="231F20"/>
          <w:sz w:val="24"/>
          <w:vertAlign w:val="superscript"/>
        </w:rPr>
        <w:t>b</w:t>
      </w:r>
      <w:r>
        <w:rPr>
          <w:color w:val="231F20"/>
          <w:sz w:val="24"/>
        </w:rPr>
        <w:t>State</w:t>
      </w:r>
      <w:proofErr w:type="spellEnd"/>
      <w:r>
        <w:rPr>
          <w:color w:val="231F20"/>
          <w:sz w:val="24"/>
        </w:rPr>
        <w:t xml:space="preserve"> Key Laboratory of Animal Disease Control and Prevention, College of Veterinary Medicine, Lanzhou University, </w:t>
      </w:r>
      <w:bookmarkStart w:id="0" w:name="OLE_LINK18"/>
      <w:bookmarkStart w:id="1" w:name="OLE_LINK17"/>
      <w:r>
        <w:rPr>
          <w:color w:val="231F20"/>
          <w:sz w:val="24"/>
        </w:rPr>
        <w:t xml:space="preserve">Lanzhou Veterinary Research Institute, Chinese Academy of Agricultural Sciences, Lanzhou </w:t>
      </w:r>
      <w:r>
        <w:rPr>
          <w:rFonts w:hint="eastAsia"/>
          <w:color w:val="231F20"/>
          <w:sz w:val="24"/>
        </w:rPr>
        <w:t>730000</w:t>
      </w:r>
      <w:r>
        <w:rPr>
          <w:color w:val="231F20"/>
          <w:sz w:val="24"/>
        </w:rPr>
        <w:t>, China</w:t>
      </w:r>
      <w:bookmarkEnd w:id="0"/>
      <w:bookmarkEnd w:id="1"/>
    </w:p>
    <w:p w:rsidR="008300DB" w:rsidRDefault="008300DB" w:rsidP="008300DB">
      <w:pPr>
        <w:spacing w:line="360" w:lineRule="auto"/>
        <w:rPr>
          <w:color w:val="231F20"/>
          <w:sz w:val="24"/>
        </w:rPr>
      </w:pPr>
      <w:r>
        <w:rPr>
          <w:color w:val="231F20"/>
          <w:sz w:val="24"/>
          <w:vertAlign w:val="superscript"/>
        </w:rPr>
        <w:t>1</w:t>
      </w:r>
      <w:r>
        <w:rPr>
          <w:color w:val="231F20"/>
          <w:sz w:val="24"/>
        </w:rPr>
        <w:t xml:space="preserve">Wenhua Shao, </w:t>
      </w:r>
      <w:r>
        <w:rPr>
          <w:sz w:val="24"/>
        </w:rPr>
        <w:t xml:space="preserve">Wei Zhang, and </w:t>
      </w:r>
      <w:proofErr w:type="spellStart"/>
      <w:r>
        <w:rPr>
          <w:sz w:val="24"/>
        </w:rPr>
        <w:t>Zhitong</w:t>
      </w:r>
      <w:proofErr w:type="spellEnd"/>
      <w:r>
        <w:rPr>
          <w:sz w:val="24"/>
        </w:rPr>
        <w:t xml:space="preserve"> Chen</w:t>
      </w:r>
      <w:r>
        <w:rPr>
          <w:color w:val="231F20"/>
          <w:sz w:val="24"/>
        </w:rPr>
        <w:t xml:space="preserve"> contributed equally to this work.</w:t>
      </w:r>
    </w:p>
    <w:p w:rsidR="008300DB" w:rsidRDefault="008300DB" w:rsidP="008300DB">
      <w:pPr>
        <w:spacing w:line="360" w:lineRule="auto"/>
        <w:rPr>
          <w:color w:val="231F20"/>
          <w:sz w:val="24"/>
        </w:rPr>
      </w:pPr>
      <w:r>
        <w:rPr>
          <w:color w:val="231F20"/>
          <w:sz w:val="24"/>
          <w:vertAlign w:val="superscript"/>
        </w:rPr>
        <w:t>*</w:t>
      </w:r>
      <w:r>
        <w:rPr>
          <w:color w:val="231F20"/>
          <w:sz w:val="24"/>
        </w:rPr>
        <w:t>Corresponding authors.</w:t>
      </w:r>
    </w:p>
    <w:p w:rsidR="008300DB" w:rsidRDefault="008300DB" w:rsidP="008300DB">
      <w:pPr>
        <w:spacing w:line="360" w:lineRule="auto"/>
        <w:rPr>
          <w:sz w:val="24"/>
        </w:rPr>
      </w:pPr>
      <w:r>
        <w:rPr>
          <w:sz w:val="24"/>
        </w:rPr>
        <w:t xml:space="preserve">E-mail addresses: </w:t>
      </w:r>
      <w:hyperlink r:id="rId4" w:history="1">
        <w:r>
          <w:rPr>
            <w:rStyle w:val="a4"/>
            <w:sz w:val="24"/>
          </w:rPr>
          <w:t>zhaozongsh@sohu.com</w:t>
        </w:r>
      </w:hyperlink>
      <w:r>
        <w:rPr>
          <w:sz w:val="24"/>
        </w:rPr>
        <w:t xml:space="preserve"> (Z. Zhao), </w:t>
      </w:r>
      <w:hyperlink r:id="rId5" w:history="1">
        <w:r>
          <w:rPr>
            <w:rStyle w:val="a4"/>
            <w:sz w:val="24"/>
          </w:rPr>
          <w:t>yangfan02@caas.cn</w:t>
        </w:r>
      </w:hyperlink>
      <w:r>
        <w:rPr>
          <w:sz w:val="24"/>
        </w:rPr>
        <w:t xml:space="preserve"> (F. Yang), </w:t>
      </w:r>
      <w:hyperlink r:id="rId6" w:history="1">
        <w:r>
          <w:rPr>
            <w:rStyle w:val="a4"/>
            <w:sz w:val="24"/>
          </w:rPr>
          <w:t>zhuzixiang@caas.cn</w:t>
        </w:r>
      </w:hyperlink>
      <w:r>
        <w:rPr>
          <w:sz w:val="24"/>
        </w:rPr>
        <w:t xml:space="preserve"> (Z. Zhu), </w:t>
      </w:r>
      <w:hyperlink r:id="rId7" w:history="1">
        <w:r>
          <w:rPr>
            <w:rStyle w:val="a4"/>
            <w:sz w:val="24"/>
          </w:rPr>
          <w:t>zhangwei09@caas.cn</w:t>
        </w:r>
      </w:hyperlink>
      <w:r>
        <w:rPr>
          <w:sz w:val="24"/>
        </w:rPr>
        <w:t xml:space="preserve"> (W. Zhang).</w:t>
      </w:r>
    </w:p>
    <w:p w:rsidR="008300DB" w:rsidRDefault="008300DB" w:rsidP="008300DB">
      <w:pPr>
        <w:spacing w:line="360" w:lineRule="auto"/>
        <w:rPr>
          <w:sz w:val="24"/>
        </w:rPr>
      </w:pPr>
      <w:r>
        <w:rPr>
          <w:sz w:val="24"/>
        </w:rPr>
        <w:t>ORCID: 0009-0009-4674-763X (Z. Zhao), 0000-0002-8447-9594 (F. Yang), 0000-0002-4093-9683 (Z. Zhu), 0009-0002-1261-5507 (W. Zhang).</w:t>
      </w:r>
    </w:p>
    <w:p w:rsidR="008300DB" w:rsidRDefault="008300DB">
      <w:pPr>
        <w:widowControl/>
        <w:jc w:val="left"/>
        <w:rPr>
          <w:sz w:val="24"/>
        </w:rPr>
      </w:pPr>
      <w:r>
        <w:rPr>
          <w:sz w:val="24"/>
        </w:rPr>
        <w:br w:type="page"/>
      </w:r>
    </w:p>
    <w:p w:rsidR="008300DB" w:rsidRPr="008300DB" w:rsidRDefault="008300DB" w:rsidP="008300DB">
      <w:pPr>
        <w:pStyle w:val="a5"/>
        <w:spacing w:before="0" w:beforeAutospacing="0" w:after="0" w:afterAutospacing="0" w:line="440" w:lineRule="exact"/>
        <w:rPr>
          <w:rFonts w:ascii="Times New Roman" w:hAnsi="Times New Roman" w:cs="Times New Roman"/>
          <w:b/>
          <w:kern w:val="2"/>
        </w:rPr>
      </w:pPr>
      <w:r>
        <w:rPr>
          <w:rFonts w:ascii="Times New Roman" w:hAnsi="Times New Roman" w:cs="Times New Roman"/>
          <w:b/>
          <w:kern w:val="2"/>
        </w:rPr>
        <w:lastRenderedPageBreak/>
        <w:t>Supplementary Figures</w:t>
      </w:r>
      <w:r w:rsidRPr="008300DB"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03899BB0" wp14:editId="51266350">
            <wp:simplePos x="0" y="0"/>
            <wp:positionH relativeFrom="column">
              <wp:posOffset>-152400</wp:posOffset>
            </wp:positionH>
            <wp:positionV relativeFrom="paragraph">
              <wp:posOffset>285750</wp:posOffset>
            </wp:positionV>
            <wp:extent cx="5274310" cy="6348730"/>
            <wp:effectExtent l="0" t="0" r="2540" b="0"/>
            <wp:wrapTopAndBottom/>
            <wp:docPr id="4" name="图片 4" descr="D:\yanmm\VS正在处理\7225\7225 CE to Production\Fig.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yanmm\VS正在处理\7225\7225 CE to Production\Fig.S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34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300DB" w:rsidRDefault="008300DB" w:rsidP="008300DB">
      <w:pPr>
        <w:spacing w:line="440" w:lineRule="exact"/>
        <w:rPr>
          <w:sz w:val="24"/>
        </w:rPr>
      </w:pPr>
      <w:r>
        <w:rPr>
          <w:b/>
          <w:sz w:val="24"/>
        </w:rPr>
        <w:t>Supplementary Fig. 1.</w:t>
      </w:r>
      <w:r>
        <w:t xml:space="preserve"> </w:t>
      </w:r>
      <w:r>
        <w:rPr>
          <w:sz w:val="24"/>
        </w:rPr>
        <w:t xml:space="preserve">Mechanisms of STING1 </w:t>
      </w:r>
      <w:proofErr w:type="spellStart"/>
      <w:r>
        <w:rPr>
          <w:sz w:val="24"/>
        </w:rPr>
        <w:t>downregulation</w:t>
      </w:r>
      <w:proofErr w:type="spellEnd"/>
      <w:r>
        <w:rPr>
          <w:sz w:val="24"/>
        </w:rPr>
        <w:t xml:space="preserve"> by viral 3C/2B proteins. </w:t>
      </w:r>
      <w:r>
        <w:rPr>
          <w:b/>
          <w:sz w:val="24"/>
        </w:rPr>
        <w:t>A</w:t>
      </w:r>
      <w:r>
        <w:rPr>
          <w:sz w:val="24"/>
        </w:rPr>
        <w:t xml:space="preserve"> Western blotting was used to detect STING1 protein levels in IBRS-2 cells infected with or without FMDV (0.5 MOI) in the absence or presence of MG132 (2 or 20 </w:t>
      </w:r>
      <w:proofErr w:type="spellStart"/>
      <w:r>
        <w:rPr>
          <w:sz w:val="24"/>
        </w:rPr>
        <w:t>μM</w:t>
      </w:r>
      <w:proofErr w:type="spellEnd"/>
      <w:r>
        <w:rPr>
          <w:sz w:val="24"/>
        </w:rPr>
        <w:t xml:space="preserve">), CQ (50 or 100 </w:t>
      </w:r>
      <w:proofErr w:type="spellStart"/>
      <w:r>
        <w:rPr>
          <w:sz w:val="24"/>
        </w:rPr>
        <w:t>μM</w:t>
      </w:r>
      <w:proofErr w:type="spellEnd"/>
      <w:r>
        <w:rPr>
          <w:sz w:val="24"/>
        </w:rPr>
        <w:t xml:space="preserve">), or Z-VAD-FMK (10 or 50 </w:t>
      </w:r>
      <w:proofErr w:type="spellStart"/>
      <w:r>
        <w:rPr>
          <w:sz w:val="24"/>
        </w:rPr>
        <w:t>μM</w:t>
      </w:r>
      <w:proofErr w:type="spellEnd"/>
      <w:r>
        <w:rPr>
          <w:sz w:val="24"/>
        </w:rPr>
        <w:t xml:space="preserve">) for 12 h. </w:t>
      </w:r>
      <w:r>
        <w:rPr>
          <w:b/>
          <w:sz w:val="24"/>
        </w:rPr>
        <w:t>B</w:t>
      </w:r>
      <w:r>
        <w:rPr>
          <w:sz w:val="24"/>
        </w:rPr>
        <w:t xml:space="preserve"> and </w:t>
      </w:r>
      <w:r>
        <w:rPr>
          <w:b/>
          <w:sz w:val="24"/>
        </w:rPr>
        <w:t>C</w:t>
      </w:r>
      <w:r>
        <w:rPr>
          <w:sz w:val="24"/>
        </w:rPr>
        <w:t xml:space="preserve"> Western blotting was used to detect STING1 protein levels in IBRS-2 cells transfected with Flag-3C (</w:t>
      </w:r>
      <w:r>
        <w:rPr>
          <w:b/>
          <w:sz w:val="24"/>
        </w:rPr>
        <w:t>B</w:t>
      </w:r>
      <w:r>
        <w:rPr>
          <w:sz w:val="24"/>
        </w:rPr>
        <w:t>) or 2B (</w:t>
      </w:r>
      <w:r>
        <w:rPr>
          <w:b/>
          <w:sz w:val="24"/>
        </w:rPr>
        <w:t>C</w:t>
      </w:r>
      <w:r>
        <w:rPr>
          <w:sz w:val="24"/>
        </w:rPr>
        <w:t xml:space="preserve">) plasmids in the absence or presence of MG132 (2 or 20 </w:t>
      </w:r>
      <w:proofErr w:type="spellStart"/>
      <w:r>
        <w:rPr>
          <w:sz w:val="24"/>
        </w:rPr>
        <w:t>μM</w:t>
      </w:r>
      <w:proofErr w:type="spellEnd"/>
      <w:r>
        <w:rPr>
          <w:sz w:val="24"/>
        </w:rPr>
        <w:t xml:space="preserve">), CQ (50 or 100 </w:t>
      </w:r>
      <w:proofErr w:type="spellStart"/>
      <w:r>
        <w:rPr>
          <w:sz w:val="24"/>
        </w:rPr>
        <w:t>μM</w:t>
      </w:r>
      <w:proofErr w:type="spellEnd"/>
      <w:r>
        <w:rPr>
          <w:sz w:val="24"/>
        </w:rPr>
        <w:t xml:space="preserve">), or Z-VAD-FMK (10 or 50 </w:t>
      </w:r>
      <w:proofErr w:type="spellStart"/>
      <w:r>
        <w:rPr>
          <w:sz w:val="24"/>
        </w:rPr>
        <w:t>μM</w:t>
      </w:r>
      <w:proofErr w:type="spellEnd"/>
      <w:r>
        <w:rPr>
          <w:sz w:val="24"/>
        </w:rPr>
        <w:t xml:space="preserve">) for 36 h. </w:t>
      </w:r>
      <w:r>
        <w:rPr>
          <w:b/>
          <w:sz w:val="24"/>
        </w:rPr>
        <w:t>D</w:t>
      </w:r>
      <w:r>
        <w:rPr>
          <w:sz w:val="24"/>
        </w:rPr>
        <w:t xml:space="preserve"> An MTS assay was </w:t>
      </w:r>
      <w:r>
        <w:rPr>
          <w:sz w:val="24"/>
        </w:rPr>
        <w:lastRenderedPageBreak/>
        <w:t xml:space="preserve">used to assess the cytotoxicity of MG132 (2 or 20 </w:t>
      </w:r>
      <w:proofErr w:type="spellStart"/>
      <w:r>
        <w:rPr>
          <w:sz w:val="24"/>
        </w:rPr>
        <w:t>μM</w:t>
      </w:r>
      <w:proofErr w:type="spellEnd"/>
      <w:r>
        <w:rPr>
          <w:sz w:val="24"/>
        </w:rPr>
        <w:t xml:space="preserve">), CQ (50 or 100 </w:t>
      </w:r>
      <w:proofErr w:type="spellStart"/>
      <w:r>
        <w:rPr>
          <w:sz w:val="24"/>
        </w:rPr>
        <w:t>μM</w:t>
      </w:r>
      <w:proofErr w:type="spellEnd"/>
      <w:r>
        <w:rPr>
          <w:sz w:val="24"/>
        </w:rPr>
        <w:t xml:space="preserve">), or Z-VAD-FMK (10 or 50 </w:t>
      </w:r>
      <w:proofErr w:type="spellStart"/>
      <w:r>
        <w:rPr>
          <w:sz w:val="24"/>
        </w:rPr>
        <w:t>μM</w:t>
      </w:r>
      <w:proofErr w:type="spellEnd"/>
      <w:r>
        <w:rPr>
          <w:sz w:val="24"/>
        </w:rPr>
        <w:t xml:space="preserve">). </w:t>
      </w:r>
      <w:r>
        <w:rPr>
          <w:b/>
          <w:sz w:val="24"/>
        </w:rPr>
        <w:t>E</w:t>
      </w:r>
      <w:r>
        <w:rPr>
          <w:sz w:val="24"/>
        </w:rPr>
        <w:t xml:space="preserve"> and </w:t>
      </w:r>
      <w:r>
        <w:rPr>
          <w:b/>
          <w:sz w:val="24"/>
        </w:rPr>
        <w:t>F</w:t>
      </w:r>
      <w:r>
        <w:rPr>
          <w:sz w:val="24"/>
        </w:rPr>
        <w:t xml:space="preserve"> </w:t>
      </w:r>
      <w:proofErr w:type="gramStart"/>
      <w:r>
        <w:rPr>
          <w:sz w:val="24"/>
        </w:rPr>
        <w:t>The</w:t>
      </w:r>
      <w:proofErr w:type="gramEnd"/>
      <w:r>
        <w:rPr>
          <w:sz w:val="24"/>
        </w:rPr>
        <w:t xml:space="preserve"> effects of 3C and 2B on STING1 mRNA levels were evaluated. IBRS-2 cells were transfected with 3C (</w:t>
      </w:r>
      <w:r>
        <w:rPr>
          <w:b/>
          <w:sz w:val="24"/>
        </w:rPr>
        <w:t>E</w:t>
      </w:r>
      <w:r>
        <w:rPr>
          <w:sz w:val="24"/>
        </w:rPr>
        <w:t>) or 2B (</w:t>
      </w:r>
      <w:r>
        <w:rPr>
          <w:b/>
          <w:sz w:val="24"/>
        </w:rPr>
        <w:t>F</w:t>
      </w:r>
      <w:r>
        <w:rPr>
          <w:sz w:val="24"/>
        </w:rPr>
        <w:t xml:space="preserve">) plasmids (0, 1, or 2 </w:t>
      </w:r>
      <w:proofErr w:type="spellStart"/>
      <w:r>
        <w:rPr>
          <w:sz w:val="24"/>
        </w:rPr>
        <w:t>μg</w:t>
      </w:r>
      <w:proofErr w:type="spellEnd"/>
      <w:r>
        <w:rPr>
          <w:sz w:val="24"/>
        </w:rPr>
        <w:t>) for 24 h, and then analyzed by RT-PCR.</w:t>
      </w:r>
      <w:r>
        <w:rPr>
          <w:rFonts w:hint="eastAsia"/>
          <w:sz w:val="24"/>
        </w:rPr>
        <w:t xml:space="preserve"> </w:t>
      </w:r>
      <w:r>
        <w:rPr>
          <w:sz w:val="24"/>
        </w:rPr>
        <w:t>**</w:t>
      </w:r>
      <w:r>
        <w:rPr>
          <w:i/>
          <w:sz w:val="24"/>
        </w:rPr>
        <w:t>P</w:t>
      </w:r>
      <w:r>
        <w:rPr>
          <w:sz w:val="24"/>
        </w:rPr>
        <w:t xml:space="preserve"> &lt; 0.01; “</w:t>
      </w:r>
      <w:proofErr w:type="spellStart"/>
      <w:r>
        <w:rPr>
          <w:sz w:val="24"/>
        </w:rPr>
        <w:t>n.s</w:t>
      </w:r>
      <w:proofErr w:type="spellEnd"/>
      <w:r>
        <w:rPr>
          <w:sz w:val="24"/>
        </w:rPr>
        <w:t>.” indicates no statistically significant difference.</w:t>
      </w:r>
    </w:p>
    <w:p w:rsidR="008300DB" w:rsidRDefault="008300DB" w:rsidP="008300DB">
      <w:pPr>
        <w:spacing w:line="440" w:lineRule="exact"/>
        <w:rPr>
          <w:b/>
          <w:sz w:val="24"/>
        </w:rPr>
      </w:pPr>
      <w:r w:rsidRPr="008300DB"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3175</wp:posOffset>
            </wp:positionV>
            <wp:extent cx="5274310" cy="6824345"/>
            <wp:effectExtent l="0" t="0" r="2540" b="0"/>
            <wp:wrapTopAndBottom/>
            <wp:docPr id="3" name="图片 3" descr="D:\yanmm\VS正在处理\7225\7225 CE to Production\Fig.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yanmm\VS正在处理\7225\7225 CE to Production\Fig.S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82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300DB" w:rsidRDefault="008300DB" w:rsidP="008300DB">
      <w:pPr>
        <w:spacing w:line="440" w:lineRule="exact"/>
        <w:rPr>
          <w:sz w:val="24"/>
        </w:rPr>
      </w:pPr>
      <w:r>
        <w:rPr>
          <w:b/>
          <w:sz w:val="24"/>
        </w:rPr>
        <w:t>Supplementary Fig. 2.</w:t>
      </w:r>
      <w:r>
        <w:t xml:space="preserve"> </w:t>
      </w:r>
      <w:r>
        <w:rPr>
          <w:sz w:val="24"/>
        </w:rPr>
        <w:t xml:space="preserve">A comprehensive multiple sequence alignment of the 3C amino </w:t>
      </w:r>
      <w:r>
        <w:rPr>
          <w:sz w:val="24"/>
        </w:rPr>
        <w:lastRenderedPageBreak/>
        <w:t xml:space="preserve">acid sequences across PV, EV71, Cox, FMDV, and SVA. </w:t>
      </w:r>
      <w:proofErr w:type="gramStart"/>
      <w:r>
        <w:rPr>
          <w:b/>
          <w:sz w:val="24"/>
        </w:rPr>
        <w:t>A</w:t>
      </w:r>
      <w:r>
        <w:t xml:space="preserve"> </w:t>
      </w:r>
      <w:r>
        <w:rPr>
          <w:sz w:val="24"/>
        </w:rPr>
        <w:t>The</w:t>
      </w:r>
      <w:proofErr w:type="gramEnd"/>
      <w:r>
        <w:rPr>
          <w:sz w:val="24"/>
        </w:rPr>
        <w:t xml:space="preserve"> analysis of the conservation of viral 3C nucleic acid sequences. The red box represents that the SVA 3C amino acid sequence is different from other virus 3C sequences. </w:t>
      </w:r>
      <w:r>
        <w:rPr>
          <w:b/>
          <w:sz w:val="24"/>
        </w:rPr>
        <w:t>B</w:t>
      </w:r>
      <w:r w:rsidRPr="00800BE2">
        <w:rPr>
          <w:sz w:val="24"/>
        </w:rPr>
        <w:t>–</w:t>
      </w:r>
      <w:r>
        <w:rPr>
          <w:b/>
          <w:sz w:val="24"/>
        </w:rPr>
        <w:t>F</w:t>
      </w:r>
      <w:r>
        <w:rPr>
          <w:sz w:val="24"/>
        </w:rPr>
        <w:t xml:space="preserve"> </w:t>
      </w:r>
      <w:proofErr w:type="gramStart"/>
      <w:r>
        <w:rPr>
          <w:sz w:val="24"/>
        </w:rPr>
        <w:t>A</w:t>
      </w:r>
      <w:proofErr w:type="gramEnd"/>
      <w:r>
        <w:rPr>
          <w:sz w:val="24"/>
        </w:rPr>
        <w:t xml:space="preserve"> complex model was constructed using AlphaFold3, followed by energy minimization using Discovery Studio. Protein interactions were then evaluated using </w:t>
      </w:r>
      <w:proofErr w:type="spellStart"/>
      <w:r>
        <w:rPr>
          <w:sz w:val="24"/>
        </w:rPr>
        <w:t>PDBePISA</w:t>
      </w:r>
      <w:proofErr w:type="spellEnd"/>
      <w:r>
        <w:rPr>
          <w:sz w:val="24"/>
        </w:rPr>
        <w:t xml:space="preserve"> (https://www.ebi.ac.uk/msd-srv/prot_int/pistart.html). Panels </w:t>
      </w:r>
      <w:r w:rsidRPr="003D6717">
        <w:rPr>
          <w:b/>
          <w:sz w:val="24"/>
        </w:rPr>
        <w:t>B</w:t>
      </w:r>
      <w:r>
        <w:rPr>
          <w:sz w:val="24"/>
        </w:rPr>
        <w:t>–</w:t>
      </w:r>
      <w:r w:rsidRPr="003D6717">
        <w:rPr>
          <w:b/>
          <w:sz w:val="24"/>
        </w:rPr>
        <w:t>F</w:t>
      </w:r>
      <w:r>
        <w:rPr>
          <w:sz w:val="24"/>
        </w:rPr>
        <w:t xml:space="preserve"> present molecular docking analyses of STING1 with viral 3C proteins in Cox, EV71, FMDV, PV, and SVA. Docking results for STING1 (modeled by </w:t>
      </w:r>
      <w:proofErr w:type="spellStart"/>
      <w:proofErr w:type="gramStart"/>
      <w:r>
        <w:rPr>
          <w:sz w:val="24"/>
        </w:rPr>
        <w:t>AlphaFold</w:t>
      </w:r>
      <w:proofErr w:type="spellEnd"/>
      <w:proofErr w:type="gramEnd"/>
      <w:r>
        <w:rPr>
          <w:sz w:val="24"/>
        </w:rPr>
        <w:t>, shown in purple) with Cox 3C (</w:t>
      </w:r>
      <w:proofErr w:type="spellStart"/>
      <w:r>
        <w:rPr>
          <w:sz w:val="24"/>
        </w:rPr>
        <w:t>AlphaFold</w:t>
      </w:r>
      <w:proofErr w:type="spellEnd"/>
      <w:r>
        <w:rPr>
          <w:sz w:val="24"/>
        </w:rPr>
        <w:t xml:space="preserve"> model, cyan) were obtained using the ZDOCK algorithm (</w:t>
      </w:r>
      <w:r w:rsidRPr="003D6717">
        <w:rPr>
          <w:b/>
          <w:sz w:val="24"/>
        </w:rPr>
        <w:t>B</w:t>
      </w:r>
      <w:r>
        <w:rPr>
          <w:sz w:val="24"/>
        </w:rPr>
        <w:t>). Similarly, docking results for STING1 (purple) with EV71 3C (green) (</w:t>
      </w:r>
      <w:r w:rsidRPr="003D6717">
        <w:rPr>
          <w:b/>
          <w:sz w:val="24"/>
        </w:rPr>
        <w:t>C</w:t>
      </w:r>
      <w:r>
        <w:rPr>
          <w:sz w:val="24"/>
        </w:rPr>
        <w:t>), STING1 (purple) with FMDV 3C (Tan) (</w:t>
      </w:r>
      <w:r w:rsidRPr="003D6717">
        <w:rPr>
          <w:b/>
          <w:sz w:val="24"/>
        </w:rPr>
        <w:t>D</w:t>
      </w:r>
      <w:r>
        <w:rPr>
          <w:sz w:val="24"/>
        </w:rPr>
        <w:t>), STING1 (purple) with PV 3C (blue) (</w:t>
      </w:r>
      <w:r w:rsidRPr="003D6717">
        <w:rPr>
          <w:b/>
          <w:sz w:val="24"/>
        </w:rPr>
        <w:t>E</w:t>
      </w:r>
      <w:r>
        <w:rPr>
          <w:sz w:val="24"/>
        </w:rPr>
        <w:t xml:space="preserve">), and STING1 (purple) </w:t>
      </w:r>
      <w:r w:rsidRPr="008300DB">
        <w:rPr>
          <w:b/>
          <w:noProof/>
          <w:sz w:val="24"/>
        </w:rPr>
        <w:drawing>
          <wp:anchor distT="0" distB="0" distL="114300" distR="114300" simplePos="0" relativeHeight="251660288" behindDoc="1" locked="0" layoutInCell="1" allowOverlap="1" wp14:anchorId="1DE43D52" wp14:editId="58112763">
            <wp:simplePos x="0" y="0"/>
            <wp:positionH relativeFrom="column">
              <wp:posOffset>-95250</wp:posOffset>
            </wp:positionH>
            <wp:positionV relativeFrom="paragraph">
              <wp:posOffset>3590925</wp:posOffset>
            </wp:positionV>
            <wp:extent cx="5274310" cy="4946015"/>
            <wp:effectExtent l="0" t="0" r="2540" b="6985"/>
            <wp:wrapTopAndBottom/>
            <wp:docPr id="5" name="图片 5" descr="D:\yanmm\VS正在处理\7225\7225 CE to Production\Fig.S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yanmm\VS正在处理\7225\7225 CE to Production\Fig.S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94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4"/>
        </w:rPr>
        <w:t>with SVA 3C (orange) (</w:t>
      </w:r>
      <w:r w:rsidRPr="003D6717">
        <w:rPr>
          <w:b/>
          <w:sz w:val="24"/>
        </w:rPr>
        <w:t>F</w:t>
      </w:r>
      <w:r>
        <w:rPr>
          <w:sz w:val="24"/>
        </w:rPr>
        <w:t>) were generated using the ZDOCK algorithm.</w:t>
      </w:r>
    </w:p>
    <w:p w:rsidR="008300DB" w:rsidRDefault="008300DB" w:rsidP="008300DB">
      <w:pPr>
        <w:spacing w:line="440" w:lineRule="exact"/>
        <w:rPr>
          <w:b/>
          <w:sz w:val="24"/>
        </w:rPr>
      </w:pPr>
    </w:p>
    <w:p w:rsidR="008300DB" w:rsidRDefault="008300DB" w:rsidP="008300DB">
      <w:pPr>
        <w:spacing w:line="440" w:lineRule="exact"/>
        <w:rPr>
          <w:sz w:val="24"/>
        </w:rPr>
      </w:pPr>
      <w:r>
        <w:rPr>
          <w:b/>
          <w:sz w:val="24"/>
        </w:rPr>
        <w:lastRenderedPageBreak/>
        <w:t>Supplementary Fig. 3.</w:t>
      </w:r>
      <w:r>
        <w:t xml:space="preserve"> </w:t>
      </w:r>
      <w:r>
        <w:rPr>
          <w:sz w:val="24"/>
        </w:rPr>
        <w:t xml:space="preserve">STING1 inhibits FMDV replication in an interferon-independent manner. </w:t>
      </w:r>
      <w:r>
        <w:rPr>
          <w:b/>
          <w:sz w:val="24"/>
        </w:rPr>
        <w:t>A</w:t>
      </w:r>
      <w:r>
        <w:rPr>
          <w:sz w:val="24"/>
        </w:rPr>
        <w:t xml:space="preserve"> Knockdown efficiency of IFNAR1 was confirmed by western blotting. </w:t>
      </w:r>
      <w:r>
        <w:rPr>
          <w:b/>
          <w:sz w:val="24"/>
        </w:rPr>
        <w:t>B</w:t>
      </w:r>
      <w:r>
        <w:rPr>
          <w:sz w:val="24"/>
        </w:rPr>
        <w:t xml:space="preserve"> TBK1-KD suppresses poly (I</w:t>
      </w:r>
      <w:proofErr w:type="gramStart"/>
      <w:r>
        <w:rPr>
          <w:sz w:val="24"/>
        </w:rPr>
        <w:t>:C</w:t>
      </w:r>
      <w:proofErr w:type="gramEnd"/>
      <w:r>
        <w:rPr>
          <w:sz w:val="24"/>
        </w:rPr>
        <w:t xml:space="preserve">)-induced transcriptional activation of the IFN-β promoter. PK-15 cells were transfected with siTBK1 or NC for 16 h, and then transfected with IFN-β luciferase reporters for 20 h. Cells were subsequently treated with or without poly(I:C) (50 </w:t>
      </w:r>
      <w:proofErr w:type="spellStart"/>
      <w:r>
        <w:rPr>
          <w:sz w:val="24"/>
        </w:rPr>
        <w:t>ng</w:t>
      </w:r>
      <w:proofErr w:type="spellEnd"/>
      <w:r>
        <w:rPr>
          <w:sz w:val="24"/>
        </w:rPr>
        <w:t xml:space="preserve">/mL) for 12 h. Luciferase assays were performed using a dual-luciferase reporter assay kit. </w:t>
      </w:r>
      <w:r>
        <w:rPr>
          <w:b/>
          <w:sz w:val="24"/>
        </w:rPr>
        <w:t>C</w:t>
      </w:r>
      <w:r>
        <w:t xml:space="preserve"> </w:t>
      </w:r>
      <w:r>
        <w:rPr>
          <w:sz w:val="24"/>
        </w:rPr>
        <w:t>IFNAR1-KD suppresses poly (I</w:t>
      </w:r>
      <w:proofErr w:type="gramStart"/>
      <w:r>
        <w:rPr>
          <w:sz w:val="24"/>
        </w:rPr>
        <w:t>:C</w:t>
      </w:r>
      <w:proofErr w:type="gramEnd"/>
      <w:r>
        <w:rPr>
          <w:sz w:val="24"/>
        </w:rPr>
        <w:t xml:space="preserve">)-induced transcriptional activation of the IFN-β promoter. PK-15 cells were transfected with siIFNAR1 or NC for 16 h, and then transfected with IFN-β luciferase reporters for 20 h. Cells were treated with or without poly(I:C) (50 </w:t>
      </w:r>
      <w:proofErr w:type="spellStart"/>
      <w:r>
        <w:rPr>
          <w:sz w:val="24"/>
        </w:rPr>
        <w:t>ng</w:t>
      </w:r>
      <w:proofErr w:type="spellEnd"/>
      <w:r>
        <w:rPr>
          <w:sz w:val="24"/>
        </w:rPr>
        <w:t xml:space="preserve">/mL) for 12 h. Luciferase assays were performed using a dual-luciferase reporter assay kit. </w:t>
      </w:r>
      <w:r>
        <w:rPr>
          <w:b/>
          <w:sz w:val="24"/>
        </w:rPr>
        <w:t>D</w:t>
      </w:r>
      <w:r w:rsidRPr="00800BE2">
        <w:rPr>
          <w:sz w:val="24"/>
        </w:rPr>
        <w:t>–</w:t>
      </w:r>
      <w:r>
        <w:rPr>
          <w:b/>
          <w:sz w:val="24"/>
        </w:rPr>
        <w:t>F</w:t>
      </w:r>
      <w:r>
        <w:rPr>
          <w:sz w:val="24"/>
        </w:rPr>
        <w:t xml:space="preserve"> </w:t>
      </w:r>
      <w:bookmarkStart w:id="2" w:name="OLE_LINK33"/>
      <w:r>
        <w:rPr>
          <w:sz w:val="24"/>
        </w:rPr>
        <w:t xml:space="preserve">STING1 inhibits FMDV replication in IFNAR1 knockdown (IFNAR1-KD) PK-15 cells. IFNAR1-KD cells were transfected with STING1 plasmids in a dose-dependent manner for 24 h and then inoculated with FMDV at an MOI of 0.5 for 12 h. Infected cells were harvested to detect FMDV protein expression using </w:t>
      </w:r>
      <w:proofErr w:type="spellStart"/>
      <w:r>
        <w:rPr>
          <w:sz w:val="24"/>
        </w:rPr>
        <w:t>immunoblotting</w:t>
      </w:r>
      <w:proofErr w:type="spellEnd"/>
      <w:r>
        <w:rPr>
          <w:sz w:val="24"/>
        </w:rPr>
        <w:t xml:space="preserve"> (</w:t>
      </w:r>
      <w:r>
        <w:rPr>
          <w:b/>
          <w:sz w:val="24"/>
        </w:rPr>
        <w:t>D</w:t>
      </w:r>
      <w:r>
        <w:rPr>
          <w:sz w:val="24"/>
        </w:rPr>
        <w:t>), FMDV mRNA levels by RT-PCR (</w:t>
      </w:r>
      <w:r>
        <w:rPr>
          <w:b/>
          <w:sz w:val="24"/>
        </w:rPr>
        <w:t>E</w:t>
      </w:r>
      <w:r>
        <w:rPr>
          <w:sz w:val="24"/>
        </w:rPr>
        <w:t>), and viral titers were assessed by determining TCID</w:t>
      </w:r>
      <w:r>
        <w:rPr>
          <w:sz w:val="24"/>
          <w:vertAlign w:val="subscript"/>
        </w:rPr>
        <w:t>50</w:t>
      </w:r>
      <w:r>
        <w:rPr>
          <w:sz w:val="24"/>
        </w:rPr>
        <w:t xml:space="preserve"> (</w:t>
      </w:r>
      <w:r>
        <w:rPr>
          <w:b/>
          <w:sz w:val="24"/>
        </w:rPr>
        <w:t>F</w:t>
      </w:r>
      <w:r>
        <w:rPr>
          <w:sz w:val="24"/>
        </w:rPr>
        <w:t>).</w:t>
      </w:r>
      <w:bookmarkEnd w:id="2"/>
      <w:r>
        <w:rPr>
          <w:sz w:val="24"/>
        </w:rPr>
        <w:t xml:space="preserve"> </w:t>
      </w:r>
      <w:r>
        <w:rPr>
          <w:b/>
          <w:sz w:val="24"/>
        </w:rPr>
        <w:t>G</w:t>
      </w:r>
      <w:r w:rsidRPr="00800BE2">
        <w:rPr>
          <w:sz w:val="24"/>
        </w:rPr>
        <w:t>–</w:t>
      </w:r>
      <w:r>
        <w:rPr>
          <w:b/>
          <w:sz w:val="24"/>
        </w:rPr>
        <w:t>I</w:t>
      </w:r>
      <w:r>
        <w:rPr>
          <w:sz w:val="24"/>
        </w:rPr>
        <w:t xml:space="preserve"> STING1 inhibits FMDV replication in p65 knockdown (p65-KD) PK-15 cells. </w:t>
      </w:r>
      <w:proofErr w:type="gramStart"/>
      <w:r>
        <w:rPr>
          <w:sz w:val="24"/>
        </w:rPr>
        <w:t>p65-KD</w:t>
      </w:r>
      <w:proofErr w:type="gramEnd"/>
      <w:r>
        <w:rPr>
          <w:sz w:val="24"/>
        </w:rPr>
        <w:t xml:space="preserve"> cells, seeded into 6-well plates, were transfected with STING1 plasmids in a dose-dependent manner for 24 h and then inoculated with FMDV at an MOI of 0.5 for 12 h. The knockdown efficiency was confirmed by RT-PCR and western blotting (</w:t>
      </w:r>
      <w:r>
        <w:rPr>
          <w:b/>
          <w:sz w:val="24"/>
        </w:rPr>
        <w:t>G</w:t>
      </w:r>
      <w:r>
        <w:rPr>
          <w:sz w:val="24"/>
        </w:rPr>
        <w:t>). Infected cells were harvested to detect FMDV mRNA levels by RT-PCR (</w:t>
      </w:r>
      <w:r>
        <w:rPr>
          <w:b/>
          <w:sz w:val="24"/>
        </w:rPr>
        <w:t>H</w:t>
      </w:r>
      <w:r>
        <w:rPr>
          <w:sz w:val="24"/>
        </w:rPr>
        <w:t>), and viral titers were assessed by determining TCID</w:t>
      </w:r>
      <w:r>
        <w:rPr>
          <w:sz w:val="24"/>
          <w:vertAlign w:val="subscript"/>
        </w:rPr>
        <w:t>50</w:t>
      </w:r>
      <w:r>
        <w:rPr>
          <w:sz w:val="24"/>
        </w:rPr>
        <w:t xml:space="preserve"> (</w:t>
      </w:r>
      <w:r>
        <w:rPr>
          <w:b/>
          <w:sz w:val="24"/>
        </w:rPr>
        <w:t>I</w:t>
      </w:r>
      <w:r>
        <w:rPr>
          <w:sz w:val="24"/>
        </w:rPr>
        <w:t>). *</w:t>
      </w:r>
      <w:r>
        <w:rPr>
          <w:i/>
          <w:sz w:val="24"/>
        </w:rPr>
        <w:t>P</w:t>
      </w:r>
      <w:r>
        <w:rPr>
          <w:sz w:val="24"/>
        </w:rPr>
        <w:t xml:space="preserve"> &lt; 0.05; **</w:t>
      </w:r>
      <w:r>
        <w:rPr>
          <w:i/>
          <w:sz w:val="24"/>
        </w:rPr>
        <w:t>P</w:t>
      </w:r>
      <w:r>
        <w:rPr>
          <w:sz w:val="24"/>
        </w:rPr>
        <w:t xml:space="preserve"> &lt; 0.01; ***</w:t>
      </w:r>
      <w:r>
        <w:rPr>
          <w:i/>
          <w:sz w:val="24"/>
        </w:rPr>
        <w:t>P</w:t>
      </w:r>
      <w:r>
        <w:rPr>
          <w:sz w:val="24"/>
        </w:rPr>
        <w:t xml:space="preserve"> &lt; 0.001.</w:t>
      </w:r>
    </w:p>
    <w:p w:rsidR="008300DB" w:rsidRDefault="008300DB" w:rsidP="008300DB">
      <w:pPr>
        <w:spacing w:line="440" w:lineRule="exact"/>
        <w:rPr>
          <w:noProof/>
          <w:sz w:val="24"/>
        </w:rPr>
      </w:pPr>
    </w:p>
    <w:p w:rsidR="008300DB" w:rsidRDefault="008300DB" w:rsidP="008300DB">
      <w:pPr>
        <w:spacing w:line="440" w:lineRule="exact"/>
        <w:rPr>
          <w:noProof/>
          <w:sz w:val="24"/>
        </w:rPr>
      </w:pPr>
    </w:p>
    <w:p w:rsidR="008300DB" w:rsidRDefault="008300DB" w:rsidP="008300DB">
      <w:pPr>
        <w:spacing w:line="440" w:lineRule="exact"/>
        <w:rPr>
          <w:noProof/>
          <w:sz w:val="24"/>
        </w:rPr>
      </w:pPr>
    </w:p>
    <w:p w:rsidR="008300DB" w:rsidRDefault="008300DB" w:rsidP="008300DB">
      <w:pPr>
        <w:spacing w:line="440" w:lineRule="exact"/>
        <w:rPr>
          <w:noProof/>
          <w:sz w:val="24"/>
        </w:rPr>
      </w:pPr>
    </w:p>
    <w:p w:rsidR="008300DB" w:rsidRDefault="008300DB" w:rsidP="008300DB">
      <w:pPr>
        <w:spacing w:line="440" w:lineRule="exact"/>
        <w:rPr>
          <w:noProof/>
          <w:sz w:val="24"/>
        </w:rPr>
      </w:pPr>
    </w:p>
    <w:p w:rsidR="008300DB" w:rsidRDefault="008300DB" w:rsidP="008300DB">
      <w:pPr>
        <w:spacing w:line="440" w:lineRule="exact"/>
        <w:rPr>
          <w:noProof/>
          <w:sz w:val="24"/>
        </w:rPr>
      </w:pPr>
    </w:p>
    <w:p w:rsidR="008300DB" w:rsidRDefault="008300DB" w:rsidP="008300DB">
      <w:pPr>
        <w:spacing w:line="440" w:lineRule="exact"/>
        <w:rPr>
          <w:noProof/>
          <w:sz w:val="24"/>
        </w:rPr>
      </w:pPr>
    </w:p>
    <w:p w:rsidR="008300DB" w:rsidRDefault="008300DB" w:rsidP="008300DB">
      <w:pPr>
        <w:spacing w:line="440" w:lineRule="exact"/>
        <w:rPr>
          <w:noProof/>
          <w:sz w:val="24"/>
        </w:rPr>
      </w:pPr>
    </w:p>
    <w:p w:rsidR="008300DB" w:rsidRDefault="008300DB" w:rsidP="008300DB">
      <w:pPr>
        <w:spacing w:line="440" w:lineRule="exact"/>
        <w:rPr>
          <w:sz w:val="24"/>
        </w:rPr>
      </w:pPr>
      <w:r w:rsidRPr="008300DB">
        <w:rPr>
          <w:noProof/>
          <w:sz w:val="24"/>
        </w:rPr>
        <w:lastRenderedPageBreak/>
        <w:drawing>
          <wp:anchor distT="0" distB="0" distL="114300" distR="114300" simplePos="0" relativeHeight="251661312" behindDoc="0" locked="0" layoutInCell="1" allowOverlap="1" wp14:anchorId="60674E1C" wp14:editId="762C6647">
            <wp:simplePos x="0" y="0"/>
            <wp:positionH relativeFrom="column">
              <wp:posOffset>1514475</wp:posOffset>
            </wp:positionH>
            <wp:positionV relativeFrom="paragraph">
              <wp:posOffset>0</wp:posOffset>
            </wp:positionV>
            <wp:extent cx="2305050" cy="1981200"/>
            <wp:effectExtent l="0" t="0" r="0" b="0"/>
            <wp:wrapTopAndBottom/>
            <wp:docPr id="7" name="图片 7" descr="D:\yanmm\VS正在处理\7225\7225 CE to Production\Fig.S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yanmm\VS正在处理\7225\7225 CE to Production\Fig.S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300DB" w:rsidRDefault="008300DB" w:rsidP="008300DB">
      <w:pPr>
        <w:spacing w:line="440" w:lineRule="exact"/>
        <w:rPr>
          <w:sz w:val="24"/>
        </w:rPr>
      </w:pPr>
      <w:r>
        <w:rPr>
          <w:b/>
          <w:sz w:val="24"/>
        </w:rPr>
        <w:t>Supplementary Fig. 4.</w:t>
      </w:r>
      <w:r>
        <w:rPr>
          <w:sz w:val="24"/>
        </w:rPr>
        <w:t xml:space="preserve"> The effect of autophagy inhibitor 3-MA on the anti-FMDV replication of STING1. Western blotting was used to detect </w:t>
      </w:r>
      <w:r>
        <w:rPr>
          <w:rFonts w:hint="eastAsia"/>
          <w:sz w:val="24"/>
        </w:rPr>
        <w:t>viral</w:t>
      </w:r>
      <w:r>
        <w:rPr>
          <w:sz w:val="24"/>
        </w:rPr>
        <w:t xml:space="preserve"> protein levels in IBRS-2 cells transfected with HA-STING1 plasmids </w:t>
      </w:r>
      <w:r>
        <w:rPr>
          <w:rFonts w:hint="eastAsia"/>
          <w:sz w:val="24"/>
        </w:rPr>
        <w:t>(</w:t>
      </w:r>
      <w:r>
        <w:rPr>
          <w:sz w:val="24"/>
        </w:rPr>
        <w:t>0, 1, or</w:t>
      </w: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2 </w:t>
      </w:r>
      <w:proofErr w:type="spellStart"/>
      <w:r>
        <w:rPr>
          <w:sz w:val="24"/>
        </w:rPr>
        <w:t>μg</w:t>
      </w:r>
      <w:proofErr w:type="spellEnd"/>
      <w:r>
        <w:rPr>
          <w:sz w:val="24"/>
        </w:rPr>
        <w:t xml:space="preserve">) in the absence or presence of 3-MA (10 </w:t>
      </w:r>
      <w:proofErr w:type="spellStart"/>
      <w:r>
        <w:rPr>
          <w:sz w:val="24"/>
        </w:rPr>
        <w:t>mM</w:t>
      </w:r>
      <w:proofErr w:type="spellEnd"/>
      <w:r>
        <w:rPr>
          <w:sz w:val="24"/>
        </w:rPr>
        <w:t>) for 36 h.</w:t>
      </w:r>
    </w:p>
    <w:p w:rsidR="008300DB" w:rsidRDefault="008300DB" w:rsidP="008300DB">
      <w:pPr>
        <w:spacing w:line="440" w:lineRule="exact"/>
        <w:rPr>
          <w:sz w:val="24"/>
        </w:rPr>
      </w:pPr>
      <w:bookmarkStart w:id="3" w:name="_GoBack"/>
      <w:r w:rsidRPr="008300DB">
        <w:rPr>
          <w:noProof/>
          <w:sz w:val="24"/>
        </w:rPr>
        <w:drawing>
          <wp:anchor distT="0" distB="0" distL="114300" distR="114300" simplePos="0" relativeHeight="251662336" behindDoc="0" locked="0" layoutInCell="1" allowOverlap="1" wp14:anchorId="15CAF67D" wp14:editId="265EC432">
            <wp:simplePos x="0" y="0"/>
            <wp:positionH relativeFrom="margin">
              <wp:align>center</wp:align>
            </wp:positionH>
            <wp:positionV relativeFrom="paragraph">
              <wp:posOffset>307975</wp:posOffset>
            </wp:positionV>
            <wp:extent cx="4333875" cy="3467100"/>
            <wp:effectExtent l="0" t="0" r="9525" b="0"/>
            <wp:wrapTopAndBottom/>
            <wp:docPr id="8" name="图片 8" descr="D:\yanmm\VS正在处理\7225\7225 CE to Production\Fig.S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yanmm\VS正在处理\7225\7225 CE to Production\Fig.S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3"/>
    </w:p>
    <w:p w:rsidR="008300DB" w:rsidRDefault="008300DB" w:rsidP="008300DB">
      <w:pPr>
        <w:spacing w:line="440" w:lineRule="exact"/>
        <w:rPr>
          <w:b/>
          <w:sz w:val="24"/>
        </w:rPr>
      </w:pPr>
      <w:r>
        <w:rPr>
          <w:b/>
          <w:sz w:val="24"/>
        </w:rPr>
        <w:t>Supplementary Fig. 5.</w:t>
      </w:r>
      <w:r>
        <w:t xml:space="preserve"> </w:t>
      </w:r>
      <w:r>
        <w:rPr>
          <w:sz w:val="24"/>
        </w:rPr>
        <w:t xml:space="preserve">The impact of STING1 agonist </w:t>
      </w:r>
      <w:proofErr w:type="spellStart"/>
      <w:r>
        <w:rPr>
          <w:sz w:val="24"/>
        </w:rPr>
        <w:t>diABZI</w:t>
      </w:r>
      <w:proofErr w:type="spellEnd"/>
      <w:r>
        <w:rPr>
          <w:sz w:val="24"/>
        </w:rPr>
        <w:t xml:space="preserve"> on FMDV replication.</w:t>
      </w:r>
      <w:r>
        <w:rPr>
          <w:b/>
          <w:sz w:val="24"/>
        </w:rPr>
        <w:t xml:space="preserve"> A</w:t>
      </w:r>
      <w:r w:rsidRPr="00800BE2">
        <w:rPr>
          <w:sz w:val="24"/>
        </w:rPr>
        <w:t>–</w:t>
      </w:r>
      <w:r>
        <w:rPr>
          <w:b/>
          <w:sz w:val="24"/>
        </w:rPr>
        <w:t>C</w:t>
      </w:r>
      <w:r>
        <w:t xml:space="preserve"> </w:t>
      </w:r>
      <w:r>
        <w:rPr>
          <w:sz w:val="24"/>
        </w:rPr>
        <w:t xml:space="preserve">BHK-21 cells were treated with varying concentrations of SB24011 (0, 500, and 1000 µM) and subsequently infected with FMDV at 0.5 MOI. At 12 hours post-infection, the levels of viral protein, viral RNA, and viral titers were measured by </w:t>
      </w:r>
      <w:proofErr w:type="spellStart"/>
      <w:r>
        <w:rPr>
          <w:sz w:val="24"/>
        </w:rPr>
        <w:t>immunoblotting</w:t>
      </w:r>
      <w:proofErr w:type="spellEnd"/>
      <w:r>
        <w:rPr>
          <w:sz w:val="24"/>
        </w:rPr>
        <w:t xml:space="preserve"> </w:t>
      </w:r>
      <w:r>
        <w:rPr>
          <w:b/>
          <w:sz w:val="24"/>
        </w:rPr>
        <w:t>(A)</w:t>
      </w:r>
      <w:r>
        <w:rPr>
          <w:sz w:val="24"/>
        </w:rPr>
        <w:t xml:space="preserve">, RT-PCR </w:t>
      </w:r>
      <w:r>
        <w:rPr>
          <w:b/>
          <w:sz w:val="24"/>
        </w:rPr>
        <w:t>(B)</w:t>
      </w:r>
      <w:r>
        <w:rPr>
          <w:sz w:val="24"/>
        </w:rPr>
        <w:t>, and TCID</w:t>
      </w:r>
      <w:r>
        <w:rPr>
          <w:sz w:val="24"/>
          <w:vertAlign w:val="subscript"/>
        </w:rPr>
        <w:t>50</w:t>
      </w:r>
      <w:r>
        <w:rPr>
          <w:sz w:val="24"/>
        </w:rPr>
        <w:t xml:space="preserve"> assay </w:t>
      </w:r>
      <w:r>
        <w:rPr>
          <w:b/>
          <w:sz w:val="24"/>
        </w:rPr>
        <w:t>(C)</w:t>
      </w:r>
      <w:r>
        <w:rPr>
          <w:sz w:val="24"/>
        </w:rPr>
        <w:t>, respectively.</w:t>
      </w:r>
      <w:r>
        <w:rPr>
          <w:b/>
          <w:sz w:val="24"/>
        </w:rPr>
        <w:t xml:space="preserve"> D</w:t>
      </w:r>
      <w:r>
        <w:rPr>
          <w:sz w:val="24"/>
        </w:rPr>
        <w:t xml:space="preserve"> The impact of SB24011 on FMDV replication under time-dependent viral infection. IBRS-2 cells </w:t>
      </w:r>
      <w:r>
        <w:rPr>
          <w:sz w:val="24"/>
        </w:rPr>
        <w:lastRenderedPageBreak/>
        <w:t xml:space="preserve">were treated with SB24011 (100 </w:t>
      </w:r>
      <w:proofErr w:type="spellStart"/>
      <w:r>
        <w:rPr>
          <w:sz w:val="24"/>
        </w:rPr>
        <w:t>μM</w:t>
      </w:r>
      <w:proofErr w:type="spellEnd"/>
      <w:r>
        <w:rPr>
          <w:sz w:val="24"/>
        </w:rPr>
        <w:t xml:space="preserve">) or DMSO (control) and then infected with FMDV (MOI = 0.5) for 6 h. Cell lysates were collected and analyzed by Western blotting using antibodies against STING1, FMDV, and β-actin (loading control). </w:t>
      </w:r>
      <w:r>
        <w:rPr>
          <w:b/>
          <w:sz w:val="24"/>
        </w:rPr>
        <w:t>E</w:t>
      </w:r>
      <w:r>
        <w:rPr>
          <w:rFonts w:hint="eastAsia"/>
        </w:rPr>
        <w:t xml:space="preserve"> </w:t>
      </w:r>
      <w:r>
        <w:rPr>
          <w:sz w:val="24"/>
        </w:rPr>
        <w:t>β-actin was used as a loading control to normalize the relative levels of STING1 using Image J.</w:t>
      </w:r>
      <w:r>
        <w:t xml:space="preserve"> </w:t>
      </w:r>
      <w:r>
        <w:rPr>
          <w:sz w:val="24"/>
        </w:rPr>
        <w:t>**</w:t>
      </w:r>
      <w:r>
        <w:rPr>
          <w:i/>
          <w:sz w:val="24"/>
        </w:rPr>
        <w:t>P</w:t>
      </w:r>
      <w:r>
        <w:rPr>
          <w:sz w:val="24"/>
        </w:rPr>
        <w:t xml:space="preserve"> &lt; 0.01.</w:t>
      </w:r>
    </w:p>
    <w:p w:rsidR="008300DB" w:rsidRPr="008300DB" w:rsidRDefault="008300DB" w:rsidP="008300DB">
      <w:pPr>
        <w:widowControl/>
        <w:jc w:val="left"/>
        <w:rPr>
          <w:sz w:val="24"/>
        </w:rPr>
      </w:pPr>
      <w:r>
        <w:rPr>
          <w:sz w:val="24"/>
        </w:rPr>
        <w:br w:type="page"/>
      </w:r>
    </w:p>
    <w:p w:rsidR="00FF2D31" w:rsidRDefault="008300DB" w:rsidP="00FF2D31">
      <w:pPr>
        <w:spacing w:line="440" w:lineRule="exact"/>
        <w:rPr>
          <w:b/>
          <w:sz w:val="24"/>
        </w:rPr>
      </w:pPr>
      <w:r>
        <w:rPr>
          <w:b/>
          <w:sz w:val="24"/>
        </w:rPr>
        <w:lastRenderedPageBreak/>
        <w:t xml:space="preserve">Supplementary </w:t>
      </w:r>
      <w:r w:rsidR="00FF2D31">
        <w:rPr>
          <w:b/>
          <w:sz w:val="24"/>
        </w:rPr>
        <w:t>Table S1</w:t>
      </w:r>
      <w:r w:rsidR="00FF2D31">
        <w:rPr>
          <w:rFonts w:hint="eastAsia"/>
          <w:b/>
          <w:sz w:val="24"/>
        </w:rPr>
        <w:t>：</w:t>
      </w:r>
      <w:r w:rsidR="00FF2D31" w:rsidRPr="008300DB">
        <w:rPr>
          <w:b/>
          <w:sz w:val="24"/>
        </w:rPr>
        <w:t xml:space="preserve">The RT-PCR primer </w:t>
      </w:r>
      <w:r>
        <w:rPr>
          <w:b/>
          <w:sz w:val="24"/>
        </w:rPr>
        <w:t>pairs used in this study.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9"/>
        <w:gridCol w:w="4683"/>
      </w:tblGrid>
      <w:tr w:rsidR="00FF2D31" w:rsidTr="00FF2D31">
        <w:trPr>
          <w:trHeight w:val="459"/>
        </w:trPr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F2D31" w:rsidRDefault="00FF2D31">
            <w:pPr>
              <w:spacing w:line="440" w:lineRule="exact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 xml:space="preserve">Primer names </w:t>
            </w:r>
          </w:p>
        </w:tc>
        <w:tc>
          <w:tcPr>
            <w:tcW w:w="41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F2D31" w:rsidRDefault="00FF2D31">
            <w:pPr>
              <w:spacing w:line="440" w:lineRule="exact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Primer sequences(5'-3')</w:t>
            </w:r>
          </w:p>
        </w:tc>
      </w:tr>
      <w:tr w:rsidR="00FF2D31" w:rsidTr="00FF2D31">
        <w:trPr>
          <w:trHeight w:val="464"/>
        </w:trPr>
        <w:tc>
          <w:tcPr>
            <w:tcW w:w="312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F2D31" w:rsidRDefault="00FF2D31">
            <w:pPr>
              <w:spacing w:line="440" w:lineRule="exact"/>
              <w:rPr>
                <w:color w:val="231F20"/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Sus</w:t>
            </w:r>
            <w:proofErr w:type="spellEnd"/>
            <w:r>
              <w:rPr>
                <w:color w:val="231F20"/>
                <w:sz w:val="24"/>
              </w:rPr>
              <w:t>-GAPDH-F</w:t>
            </w:r>
          </w:p>
        </w:tc>
        <w:tc>
          <w:tcPr>
            <w:tcW w:w="413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F2D31" w:rsidRDefault="00FF2D31">
            <w:pPr>
              <w:spacing w:line="440" w:lineRule="exact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ACATGGCCTCCAAGGAGTAAGA</w:t>
            </w:r>
          </w:p>
        </w:tc>
      </w:tr>
      <w:tr w:rsidR="00FF2D31" w:rsidTr="00FF2D31">
        <w:trPr>
          <w:trHeight w:val="459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2D31" w:rsidRDefault="00FF2D31">
            <w:pPr>
              <w:spacing w:line="440" w:lineRule="exact"/>
              <w:rPr>
                <w:color w:val="231F20"/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Sus</w:t>
            </w:r>
            <w:proofErr w:type="spellEnd"/>
            <w:r>
              <w:rPr>
                <w:color w:val="231F20"/>
                <w:sz w:val="24"/>
              </w:rPr>
              <w:t>-GAPDH-R</w:t>
            </w:r>
          </w:p>
        </w:tc>
        <w:tc>
          <w:tcPr>
            <w:tcW w:w="41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2D31" w:rsidRDefault="00FF2D31">
            <w:pPr>
              <w:spacing w:line="440" w:lineRule="exact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GATCGAGTTGGGGCTGTGACT</w:t>
            </w:r>
          </w:p>
        </w:tc>
      </w:tr>
      <w:tr w:rsidR="00FF2D31" w:rsidTr="00FF2D31">
        <w:trPr>
          <w:trHeight w:val="459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2D31" w:rsidRDefault="00FF2D31">
            <w:pPr>
              <w:spacing w:line="440" w:lineRule="exact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Hamster-GAPDH-F</w:t>
            </w:r>
          </w:p>
        </w:tc>
        <w:tc>
          <w:tcPr>
            <w:tcW w:w="41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2D31" w:rsidRDefault="00FF2D31">
            <w:pPr>
              <w:spacing w:line="440" w:lineRule="exact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GAGAAACCTGCCAAGTATGATGAC</w:t>
            </w:r>
          </w:p>
        </w:tc>
      </w:tr>
      <w:tr w:rsidR="00FF2D31" w:rsidTr="00FF2D31">
        <w:trPr>
          <w:trHeight w:val="459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2D31" w:rsidRDefault="00FF2D31">
            <w:pPr>
              <w:spacing w:line="440" w:lineRule="exact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Hamster-GAPDH-R</w:t>
            </w:r>
          </w:p>
        </w:tc>
        <w:tc>
          <w:tcPr>
            <w:tcW w:w="41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2D31" w:rsidRDefault="00FF2D31">
            <w:pPr>
              <w:spacing w:line="440" w:lineRule="exact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AGAGTGGGAGTTGCTGTTGAAG</w:t>
            </w:r>
          </w:p>
        </w:tc>
      </w:tr>
      <w:tr w:rsidR="00FF2D31" w:rsidTr="00FF2D31">
        <w:trPr>
          <w:trHeight w:val="464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2D31" w:rsidRDefault="00FF2D31">
            <w:pPr>
              <w:spacing w:line="440" w:lineRule="exact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Sus-STING1-F</w:t>
            </w:r>
          </w:p>
        </w:tc>
        <w:tc>
          <w:tcPr>
            <w:tcW w:w="41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2D31" w:rsidRDefault="00FF2D31">
            <w:pPr>
              <w:spacing w:line="440" w:lineRule="exact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AATCACGGTTCATTTCCC</w:t>
            </w:r>
          </w:p>
        </w:tc>
      </w:tr>
      <w:tr w:rsidR="00FF2D31" w:rsidTr="00FF2D31">
        <w:trPr>
          <w:trHeight w:val="464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2D31" w:rsidRDefault="00FF2D31">
            <w:pPr>
              <w:spacing w:line="440" w:lineRule="exact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Sus-STING1-R</w:t>
            </w:r>
          </w:p>
        </w:tc>
        <w:tc>
          <w:tcPr>
            <w:tcW w:w="41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2D31" w:rsidRDefault="00FF2D31">
            <w:pPr>
              <w:spacing w:line="440" w:lineRule="exact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TTTCATTCCAATTTCCAGAAG</w:t>
            </w:r>
          </w:p>
        </w:tc>
      </w:tr>
      <w:tr w:rsidR="00FF2D31" w:rsidTr="00FF2D31">
        <w:trPr>
          <w:trHeight w:val="459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2D31" w:rsidRDefault="00FF2D31">
            <w:pPr>
              <w:spacing w:line="440" w:lineRule="exact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Hamster-STING1-F</w:t>
            </w:r>
          </w:p>
        </w:tc>
        <w:tc>
          <w:tcPr>
            <w:tcW w:w="41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2D31" w:rsidRDefault="00FF2D31">
            <w:pPr>
              <w:spacing w:line="440" w:lineRule="exact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AATCAGCGACACGACAACCT</w:t>
            </w:r>
          </w:p>
        </w:tc>
      </w:tr>
      <w:tr w:rsidR="00FF2D31" w:rsidTr="00FF2D31">
        <w:trPr>
          <w:trHeight w:val="459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2D31" w:rsidRDefault="00FF2D31">
            <w:pPr>
              <w:spacing w:line="440" w:lineRule="exact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Hamster-STING1-R</w:t>
            </w:r>
          </w:p>
        </w:tc>
        <w:tc>
          <w:tcPr>
            <w:tcW w:w="41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2D31" w:rsidRDefault="00FF2D31">
            <w:pPr>
              <w:spacing w:line="440" w:lineRule="exact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GCCAGCACGGTTCATGTTTT</w:t>
            </w:r>
          </w:p>
        </w:tc>
      </w:tr>
      <w:tr w:rsidR="00FF2D31" w:rsidTr="00FF2D31">
        <w:trPr>
          <w:trHeight w:val="459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2D31" w:rsidRDefault="00FF2D31">
            <w:pPr>
              <w:spacing w:line="440" w:lineRule="exact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FMDV-F</w:t>
            </w:r>
          </w:p>
        </w:tc>
        <w:tc>
          <w:tcPr>
            <w:tcW w:w="41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2D31" w:rsidRDefault="00FF2D31">
            <w:pPr>
              <w:spacing w:line="440" w:lineRule="exact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CACTGGTGACAGGCTAAGG</w:t>
            </w:r>
          </w:p>
        </w:tc>
      </w:tr>
      <w:tr w:rsidR="00FF2D31" w:rsidTr="00FF2D31">
        <w:trPr>
          <w:trHeight w:val="459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2D31" w:rsidRDefault="00FF2D31">
            <w:pPr>
              <w:spacing w:line="440" w:lineRule="exact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FMDV-R</w:t>
            </w:r>
          </w:p>
        </w:tc>
        <w:tc>
          <w:tcPr>
            <w:tcW w:w="41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2D31" w:rsidRDefault="00FF2D31">
            <w:pPr>
              <w:spacing w:line="440" w:lineRule="exact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CCCTTCTCAGATTCCGAGT</w:t>
            </w:r>
          </w:p>
        </w:tc>
      </w:tr>
      <w:tr w:rsidR="00FF2D31" w:rsidTr="00FF2D31">
        <w:trPr>
          <w:trHeight w:val="459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2D31" w:rsidRDefault="00FF2D31">
            <w:pPr>
              <w:spacing w:line="440" w:lineRule="exact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Human-GAPDH-F</w:t>
            </w:r>
          </w:p>
        </w:tc>
        <w:tc>
          <w:tcPr>
            <w:tcW w:w="41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2D31" w:rsidRDefault="00FF2D31">
            <w:pPr>
              <w:spacing w:line="440" w:lineRule="exact"/>
              <w:rPr>
                <w:color w:val="231F20"/>
                <w:sz w:val="24"/>
              </w:rPr>
            </w:pPr>
            <w:r>
              <w:rPr>
                <w:sz w:val="24"/>
              </w:rPr>
              <w:t>GAGTCAACGGATTTGGTCGT</w:t>
            </w:r>
          </w:p>
        </w:tc>
      </w:tr>
      <w:tr w:rsidR="00FF2D31" w:rsidTr="00FF2D31">
        <w:trPr>
          <w:trHeight w:val="459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2D31" w:rsidRDefault="00FF2D31">
            <w:pPr>
              <w:spacing w:line="440" w:lineRule="exact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Human-GAPDH-R</w:t>
            </w:r>
          </w:p>
        </w:tc>
        <w:tc>
          <w:tcPr>
            <w:tcW w:w="41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2D31" w:rsidRDefault="00FF2D31">
            <w:pPr>
              <w:spacing w:line="440" w:lineRule="exact"/>
              <w:rPr>
                <w:color w:val="231F20"/>
                <w:sz w:val="24"/>
              </w:rPr>
            </w:pPr>
            <w:r>
              <w:rPr>
                <w:sz w:val="24"/>
              </w:rPr>
              <w:t>GACAAGCTTCCCGTTCTCAG</w:t>
            </w:r>
          </w:p>
        </w:tc>
      </w:tr>
      <w:tr w:rsidR="00FF2D31" w:rsidTr="00FF2D31">
        <w:trPr>
          <w:trHeight w:val="459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2D31" w:rsidRDefault="00FF2D31">
            <w:pPr>
              <w:spacing w:line="440" w:lineRule="exact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SVA-F</w:t>
            </w:r>
          </w:p>
        </w:tc>
        <w:tc>
          <w:tcPr>
            <w:tcW w:w="41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2D31" w:rsidRDefault="00FF2D31">
            <w:pPr>
              <w:spacing w:line="440" w:lineRule="exact"/>
              <w:rPr>
                <w:color w:val="231F20"/>
                <w:sz w:val="24"/>
              </w:rPr>
            </w:pPr>
            <w:r>
              <w:rPr>
                <w:sz w:val="24"/>
              </w:rPr>
              <w:t>AGAATTTGGAAGCCATGCTCT</w:t>
            </w:r>
          </w:p>
        </w:tc>
      </w:tr>
      <w:tr w:rsidR="00FF2D31" w:rsidTr="00FF2D31">
        <w:trPr>
          <w:trHeight w:val="459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2D31" w:rsidRDefault="00FF2D31">
            <w:pPr>
              <w:spacing w:line="440" w:lineRule="exact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SVA-R</w:t>
            </w:r>
          </w:p>
        </w:tc>
        <w:tc>
          <w:tcPr>
            <w:tcW w:w="41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2D31" w:rsidRDefault="00FF2D31">
            <w:pPr>
              <w:spacing w:line="440" w:lineRule="exact"/>
              <w:rPr>
                <w:color w:val="231F20"/>
                <w:sz w:val="24"/>
              </w:rPr>
            </w:pPr>
            <w:r>
              <w:rPr>
                <w:sz w:val="24"/>
              </w:rPr>
              <w:t>GAGCCAACATAGARACAGATTGC</w:t>
            </w:r>
          </w:p>
        </w:tc>
      </w:tr>
      <w:tr w:rsidR="00FF2D31" w:rsidTr="00FF2D31">
        <w:trPr>
          <w:trHeight w:val="459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2D31" w:rsidRDefault="00FF2D31">
            <w:pPr>
              <w:spacing w:line="440" w:lineRule="exact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EV71-F</w:t>
            </w:r>
          </w:p>
        </w:tc>
        <w:tc>
          <w:tcPr>
            <w:tcW w:w="41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2D31" w:rsidRDefault="00FF2D31">
            <w:pPr>
              <w:spacing w:line="440" w:lineRule="exact"/>
              <w:rPr>
                <w:color w:val="231F20"/>
                <w:sz w:val="24"/>
              </w:rPr>
            </w:pPr>
            <w:r>
              <w:rPr>
                <w:sz w:val="24"/>
              </w:rPr>
              <w:t>GCTCTATAGGAGATAGTGTGAGTAGGG</w:t>
            </w:r>
          </w:p>
        </w:tc>
      </w:tr>
      <w:tr w:rsidR="00FF2D31" w:rsidTr="00FF2D31">
        <w:trPr>
          <w:trHeight w:val="459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2D31" w:rsidRDefault="00FF2D31">
            <w:pPr>
              <w:spacing w:line="440" w:lineRule="exact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EV71-R</w:t>
            </w:r>
          </w:p>
        </w:tc>
        <w:tc>
          <w:tcPr>
            <w:tcW w:w="41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2D31" w:rsidRDefault="00FF2D31">
            <w:pPr>
              <w:spacing w:line="440" w:lineRule="exact"/>
              <w:rPr>
                <w:color w:val="231F20"/>
                <w:sz w:val="24"/>
              </w:rPr>
            </w:pPr>
            <w:r>
              <w:rPr>
                <w:sz w:val="24"/>
              </w:rPr>
              <w:t>ATGACTGCTCACCTGCGTGTT</w:t>
            </w:r>
          </w:p>
        </w:tc>
      </w:tr>
      <w:tr w:rsidR="00FF2D31" w:rsidTr="00FF2D31">
        <w:trPr>
          <w:trHeight w:val="459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2D31" w:rsidRDefault="00FF2D31">
            <w:pPr>
              <w:spacing w:line="440" w:lineRule="exact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EMCV-F</w:t>
            </w:r>
          </w:p>
        </w:tc>
        <w:tc>
          <w:tcPr>
            <w:tcW w:w="41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2D31" w:rsidRDefault="00FF2D31">
            <w:pPr>
              <w:spacing w:line="440" w:lineRule="exact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CTGTCTTCTTGACGAGCATTC</w:t>
            </w:r>
          </w:p>
        </w:tc>
      </w:tr>
      <w:tr w:rsidR="00FF2D31" w:rsidTr="00FF2D31">
        <w:trPr>
          <w:trHeight w:val="459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2D31" w:rsidRDefault="00FF2D31">
            <w:pPr>
              <w:spacing w:line="440" w:lineRule="exact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EMCV-R</w:t>
            </w:r>
          </w:p>
        </w:tc>
        <w:tc>
          <w:tcPr>
            <w:tcW w:w="41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2D31" w:rsidRDefault="00FF2D31">
            <w:pPr>
              <w:spacing w:line="440" w:lineRule="exact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CCACTGTTGACTGGGTGTTT</w:t>
            </w:r>
          </w:p>
        </w:tc>
      </w:tr>
      <w:tr w:rsidR="00FF2D31" w:rsidTr="00FF2D31">
        <w:trPr>
          <w:trHeight w:val="459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2D31" w:rsidRDefault="00FF2D31">
            <w:pPr>
              <w:spacing w:line="440" w:lineRule="exact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Sus-P65-F</w:t>
            </w:r>
          </w:p>
        </w:tc>
        <w:tc>
          <w:tcPr>
            <w:tcW w:w="41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2D31" w:rsidRDefault="00FF2D31">
            <w:pPr>
              <w:spacing w:line="440" w:lineRule="exact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GCATCCACAGCTTCCAGAACCT</w:t>
            </w:r>
          </w:p>
        </w:tc>
      </w:tr>
      <w:tr w:rsidR="00FF2D31" w:rsidTr="00FF2D31">
        <w:trPr>
          <w:trHeight w:val="459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2D31" w:rsidRDefault="00FF2D31">
            <w:pPr>
              <w:spacing w:line="440" w:lineRule="exact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Sus-P65-R</w:t>
            </w:r>
          </w:p>
        </w:tc>
        <w:tc>
          <w:tcPr>
            <w:tcW w:w="41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2D31" w:rsidRDefault="00FF2D31">
            <w:pPr>
              <w:spacing w:line="440" w:lineRule="exact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AGCAGAGCCGCACAGCATTC</w:t>
            </w:r>
          </w:p>
        </w:tc>
      </w:tr>
      <w:tr w:rsidR="00FF2D31" w:rsidTr="00FF2D31">
        <w:trPr>
          <w:trHeight w:val="459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2D31" w:rsidRDefault="00FF2D31">
            <w:pPr>
              <w:spacing w:line="440" w:lineRule="exact"/>
              <w:rPr>
                <w:color w:val="231F20"/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Sus</w:t>
            </w:r>
            <w:proofErr w:type="spellEnd"/>
            <w:r>
              <w:rPr>
                <w:color w:val="231F20"/>
                <w:sz w:val="24"/>
              </w:rPr>
              <w:t>-PERK-F</w:t>
            </w:r>
          </w:p>
        </w:tc>
        <w:tc>
          <w:tcPr>
            <w:tcW w:w="41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2D31" w:rsidRDefault="00FF2D31">
            <w:pPr>
              <w:spacing w:line="440" w:lineRule="exact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TCTGGACGGCAGCAATGATGG</w:t>
            </w:r>
          </w:p>
        </w:tc>
      </w:tr>
      <w:tr w:rsidR="00FF2D31" w:rsidTr="00FF2D31">
        <w:trPr>
          <w:trHeight w:val="459"/>
        </w:trPr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F2D31" w:rsidRDefault="00FF2D31">
            <w:pPr>
              <w:spacing w:line="440" w:lineRule="exact"/>
              <w:rPr>
                <w:color w:val="231F20"/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Sus</w:t>
            </w:r>
            <w:proofErr w:type="spellEnd"/>
            <w:r>
              <w:rPr>
                <w:color w:val="231F20"/>
                <w:sz w:val="24"/>
              </w:rPr>
              <w:t>-PERK-R</w:t>
            </w:r>
          </w:p>
        </w:tc>
        <w:tc>
          <w:tcPr>
            <w:tcW w:w="413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F2D31" w:rsidRDefault="00FF2D31">
            <w:pPr>
              <w:spacing w:line="440" w:lineRule="exact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AGTGGTCGGTCTTGGAGGAGAA</w:t>
            </w:r>
          </w:p>
        </w:tc>
      </w:tr>
    </w:tbl>
    <w:p w:rsidR="00FF2D31" w:rsidRDefault="00FF2D31" w:rsidP="00FF2D31">
      <w:pPr>
        <w:spacing w:line="440" w:lineRule="exact"/>
        <w:rPr>
          <w:color w:val="231F20"/>
          <w:sz w:val="24"/>
        </w:rPr>
      </w:pPr>
    </w:p>
    <w:p w:rsidR="00D14A70" w:rsidRDefault="0070579D"/>
    <w:sectPr w:rsidR="00D14A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8C7"/>
    <w:rsid w:val="005A034C"/>
    <w:rsid w:val="0070579D"/>
    <w:rsid w:val="008300DB"/>
    <w:rsid w:val="00AB15E3"/>
    <w:rsid w:val="00C658C7"/>
    <w:rsid w:val="00FF2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574E9D-859A-4E9B-8041-B893BF2C2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D3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2D31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qFormat/>
    <w:rsid w:val="008300DB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qFormat/>
    <w:rsid w:val="008300D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37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zhangwei09@caas.cn" TargetMode="External"/><Relationship Id="rId12" Type="http://schemas.openxmlformats.org/officeDocument/2006/relationships/image" Target="media/image5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huzixiang@caas.cn" TargetMode="External"/><Relationship Id="rId11" Type="http://schemas.openxmlformats.org/officeDocument/2006/relationships/image" Target="media/image4.jpeg"/><Relationship Id="rId5" Type="http://schemas.openxmlformats.org/officeDocument/2006/relationships/hyperlink" Target="mailto:yangfan02@caas.cn" TargetMode="External"/><Relationship Id="rId10" Type="http://schemas.openxmlformats.org/officeDocument/2006/relationships/image" Target="media/image3.jpeg"/><Relationship Id="rId4" Type="http://schemas.openxmlformats.org/officeDocument/2006/relationships/hyperlink" Target="mailto:zhaozongsh@sohu.com" TargetMode="Externa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1042</Words>
  <Characters>5943</Characters>
  <Application>Microsoft Office Word</Application>
  <DocSecurity>0</DocSecurity>
  <Lines>49</Lines>
  <Paragraphs>13</Paragraphs>
  <ScaleCrop>false</ScaleCrop>
  <Company/>
  <LinksUpToDate>false</LinksUpToDate>
  <CharactersWithSpaces>6972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virolo sin</cp:lastModifiedBy>
  <cp:revision>5</cp:revision>
  <dcterms:created xsi:type="dcterms:W3CDTF">2026-04-08T12:11:00Z</dcterms:created>
  <dcterms:modified xsi:type="dcterms:W3CDTF">2026-04-27T07:25:00Z</dcterms:modified>
</cp:coreProperties>
</file>