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E5B" w:rsidRPr="00280ABC" w:rsidRDefault="00280ABC" w:rsidP="00280ABC">
      <w:pPr>
        <w:adjustRightInd w:val="0"/>
        <w:snapToGrid w:val="0"/>
        <w:rPr>
          <w:rFonts w:ascii="Times New Roman" w:hAnsi="Times New Roman" w:cs="Times New Roman"/>
          <w:b/>
          <w:i/>
          <w:sz w:val="36"/>
        </w:rPr>
      </w:pPr>
      <w:proofErr w:type="spellStart"/>
      <w:r w:rsidRPr="00280ABC">
        <w:rPr>
          <w:rFonts w:ascii="Times New Roman" w:hAnsi="Times New Roman" w:cs="Times New Roman"/>
          <w:b/>
          <w:i/>
          <w:sz w:val="36"/>
        </w:rPr>
        <w:t>Virologica</w:t>
      </w:r>
      <w:proofErr w:type="spellEnd"/>
      <w:r w:rsidRPr="00280ABC">
        <w:rPr>
          <w:rFonts w:ascii="Times New Roman" w:hAnsi="Times New Roman" w:cs="Times New Roman"/>
          <w:b/>
          <w:i/>
          <w:sz w:val="36"/>
        </w:rPr>
        <w:t xml:space="preserve"> </w:t>
      </w:r>
      <w:proofErr w:type="spellStart"/>
      <w:r w:rsidRPr="00280ABC">
        <w:rPr>
          <w:rFonts w:ascii="Times New Roman" w:hAnsi="Times New Roman" w:cs="Times New Roman"/>
          <w:b/>
          <w:i/>
          <w:sz w:val="36"/>
        </w:rPr>
        <w:t>Sinica</w:t>
      </w:r>
      <w:proofErr w:type="spellEnd"/>
    </w:p>
    <w:p w:rsidR="00280ABC" w:rsidRPr="00280ABC" w:rsidRDefault="00280ABC" w:rsidP="00280ABC">
      <w:pPr>
        <w:adjustRightInd w:val="0"/>
        <w:snapToGrid w:val="0"/>
        <w:rPr>
          <w:rFonts w:ascii="Times New Roman" w:hAnsi="Times New Roman" w:cs="Times New Roman"/>
          <w:b/>
          <w:i/>
          <w:sz w:val="36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kern w:val="0"/>
          <w:sz w:val="32"/>
        </w:rPr>
      </w:pPr>
      <w:bookmarkStart w:id="0" w:name="OLE_LINK9"/>
      <w:r w:rsidRPr="00280ABC">
        <w:rPr>
          <w:rFonts w:ascii="Times New Roman" w:eastAsia="宋体" w:hAnsi="Times New Roman" w:cs="Times New Roman"/>
          <w:b/>
          <w:kern w:val="0"/>
          <w:sz w:val="32"/>
        </w:rPr>
        <w:t>Supplementary Materials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kern w:val="0"/>
          <w:sz w:val="32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b/>
          <w:kern w:val="0"/>
          <w:sz w:val="32"/>
        </w:rPr>
      </w:pPr>
      <w:r w:rsidRPr="00280ABC">
        <w:rPr>
          <w:rFonts w:ascii="Times New Roman" w:eastAsia="宋体" w:hAnsi="Times New Roman" w:cs="Times New Roman"/>
          <w:b/>
          <w:kern w:val="0"/>
          <w:sz w:val="32"/>
        </w:rPr>
        <w:t xml:space="preserve">EHD4 facilitates </w:t>
      </w:r>
      <w:proofErr w:type="spellStart"/>
      <w:r w:rsidRPr="00280ABC">
        <w:rPr>
          <w:rFonts w:ascii="Times New Roman" w:eastAsia="宋体" w:hAnsi="Times New Roman" w:cs="Times New Roman"/>
          <w:b/>
          <w:kern w:val="0"/>
          <w:sz w:val="32"/>
        </w:rPr>
        <w:t>Zika</w:t>
      </w:r>
      <w:proofErr w:type="spellEnd"/>
      <w:r w:rsidRPr="00280ABC">
        <w:rPr>
          <w:rFonts w:ascii="Times New Roman" w:eastAsia="宋体" w:hAnsi="Times New Roman" w:cs="Times New Roman"/>
          <w:b/>
          <w:kern w:val="0"/>
          <w:sz w:val="32"/>
        </w:rPr>
        <w:t xml:space="preserve"> virus infection by regulating extracellular vesicle-associated viral release and cell attachment</w:t>
      </w:r>
    </w:p>
    <w:bookmarkEnd w:id="0"/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color w:val="000000"/>
          <w:kern w:val="0"/>
          <w:sz w:val="22"/>
          <w:lang w:val="en-GB"/>
        </w:rPr>
      </w:pP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Yue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Zhang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80ABC">
        <w:rPr>
          <w:rFonts w:ascii="Times New Roman" w:eastAsia="MS Mincho" w:hAnsi="Times New Roman" w:cs="Times New Roman"/>
          <w:kern w:val="0"/>
          <w:sz w:val="22"/>
          <w:vertAlign w:val="superscript"/>
        </w:rPr>
        <w:t>a,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 xml:space="preserve"> </w:t>
      </w:r>
      <w:r w:rsidRPr="00280ABC">
        <w:rPr>
          <w:rFonts w:ascii="Times New Roman" w:eastAsia="MS Mincho" w:hAnsi="Times New Roman" w:cs="Times New Roman"/>
          <w:kern w:val="0"/>
          <w:sz w:val="22"/>
          <w:vertAlign w:val="superscript"/>
        </w:rPr>
        <w:t>b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, 1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</w:t>
      </w:r>
      <w:proofErr w:type="spellStart"/>
      <w:r w:rsidRPr="00280ABC">
        <w:rPr>
          <w:rFonts w:ascii="Times New Roman" w:eastAsia="宋体" w:hAnsi="Times New Roman" w:cs="Times New Roman"/>
          <w:kern w:val="0"/>
          <w:sz w:val="22"/>
        </w:rPr>
        <w:t>Xiu</w:t>
      </w:r>
      <w:proofErr w:type="spellEnd"/>
      <w:r w:rsidRPr="00280ABC">
        <w:rPr>
          <w:rFonts w:ascii="Times New Roman" w:eastAsia="宋体" w:hAnsi="Times New Roman" w:cs="Times New Roman"/>
          <w:kern w:val="0"/>
          <w:sz w:val="22"/>
        </w:rPr>
        <w:t xml:space="preserve">-Li Yan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b, 1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Kao Deng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b, c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Meng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-Jiao He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b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</w:t>
      </w:r>
      <w:proofErr w:type="spellStart"/>
      <w:r w:rsidRPr="00280ABC">
        <w:rPr>
          <w:rFonts w:ascii="Times New Roman" w:eastAsia="宋体" w:hAnsi="Times New Roman" w:cs="Times New Roman"/>
          <w:kern w:val="0"/>
          <w:sz w:val="22"/>
        </w:rPr>
        <w:t>Hui</w:t>
      </w:r>
      <w:proofErr w:type="spellEnd"/>
      <w:r w:rsidRPr="00280ABC">
        <w:rPr>
          <w:rFonts w:ascii="Times New Roman" w:eastAsia="宋体" w:hAnsi="Times New Roman" w:cs="Times New Roman"/>
          <w:kern w:val="0"/>
          <w:sz w:val="22"/>
        </w:rPr>
        <w:t xml:space="preserve"> Wang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b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</w:t>
      </w:r>
      <w:proofErr w:type="spellStart"/>
      <w:r w:rsidRPr="00280ABC">
        <w:rPr>
          <w:rFonts w:ascii="Times New Roman" w:eastAsia="宋体" w:hAnsi="Times New Roman" w:cs="Times New Roman"/>
          <w:kern w:val="0"/>
          <w:sz w:val="22"/>
        </w:rPr>
        <w:t>Zi</w:t>
      </w:r>
      <w:proofErr w:type="spellEnd"/>
      <w:r w:rsidRPr="00280ABC">
        <w:rPr>
          <w:rFonts w:ascii="Times New Roman" w:eastAsia="宋体" w:hAnsi="Times New Roman" w:cs="Times New Roman"/>
          <w:kern w:val="0"/>
          <w:sz w:val="22"/>
        </w:rPr>
        <w:t xml:space="preserve">-Jin Cui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b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Yu-Yan Li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b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Lei Cao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e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</w:t>
      </w:r>
      <w:proofErr w:type="spellStart"/>
      <w:r w:rsidRPr="00280ABC">
        <w:rPr>
          <w:rFonts w:ascii="Times New Roman" w:eastAsia="宋体" w:hAnsi="Times New Roman" w:cs="Times New Roman"/>
          <w:kern w:val="0"/>
          <w:sz w:val="22"/>
        </w:rPr>
        <w:t>Wenlong</w:t>
      </w:r>
      <w:proofErr w:type="spellEnd"/>
      <w:r w:rsidRPr="00280ABC">
        <w:rPr>
          <w:rFonts w:ascii="Times New Roman" w:eastAsia="宋体" w:hAnsi="Times New Roman" w:cs="Times New Roman"/>
          <w:kern w:val="0"/>
          <w:sz w:val="22"/>
        </w:rPr>
        <w:t xml:space="preserve"> Ma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f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</w:t>
      </w:r>
      <w:proofErr w:type="spellStart"/>
      <w:r w:rsidRPr="00280ABC">
        <w:rPr>
          <w:rFonts w:ascii="Times New Roman" w:eastAsia="宋体" w:hAnsi="Times New Roman" w:cs="Times New Roman"/>
          <w:kern w:val="0"/>
          <w:sz w:val="22"/>
        </w:rPr>
        <w:t>Byung</w:t>
      </w:r>
      <w:proofErr w:type="spellEnd"/>
      <w:r w:rsidRPr="00280ABC">
        <w:rPr>
          <w:rFonts w:ascii="Times New Roman" w:eastAsia="宋体" w:hAnsi="Times New Roman" w:cs="Times New Roman"/>
          <w:kern w:val="0"/>
          <w:sz w:val="22"/>
        </w:rPr>
        <w:t xml:space="preserve">-Ho Kang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f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Hoi Ki Leung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f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Peter Pak-Hang Cheung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c</w:t>
      </w:r>
      <w:r w:rsidRPr="00280ABC">
        <w:rPr>
          <w:rFonts w:ascii="Times New Roman" w:eastAsia="MS Mincho" w:hAnsi="Times New Roman" w:cs="Times New Roman"/>
          <w:color w:val="000000"/>
          <w:kern w:val="0"/>
          <w:sz w:val="22"/>
          <w:lang w:val="en-GB"/>
        </w:rPr>
        <w:t xml:space="preserve">, 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vertAlign w:val="superscript"/>
        </w:rPr>
      </w:pPr>
      <w:r w:rsidRPr="00280ABC">
        <w:rPr>
          <w:rFonts w:ascii="Times New Roman" w:eastAsia="宋体" w:hAnsi="Times New Roman" w:cs="Times New Roman"/>
          <w:kern w:val="0"/>
          <w:sz w:val="22"/>
        </w:rPr>
        <w:t xml:space="preserve">Cheng-Feng Qin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b, *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,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Ming-Yuan L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i 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 xml:space="preserve">c, d, </w:t>
      </w:r>
      <w:r w:rsidRPr="00280ABC">
        <w:rPr>
          <w:rFonts w:ascii="Times New Roman" w:eastAsia="MS Mincho" w:hAnsi="Times New Roman" w:cs="Times New Roman"/>
          <w:kern w:val="0"/>
          <w:sz w:val="22"/>
          <w:vertAlign w:val="superscript"/>
        </w:rPr>
        <w:t>b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, *</w:t>
      </w:r>
      <w:r w:rsidRPr="00280ABC">
        <w:rPr>
          <w:rFonts w:ascii="Times New Roman" w:eastAsia="宋体" w:hAnsi="Times New Roman" w:cs="Times New Roman"/>
          <w:kern w:val="0"/>
          <w:sz w:val="22"/>
        </w:rPr>
        <w:t>,</w:t>
      </w:r>
      <w:r w:rsidRPr="00280ABC">
        <w:rPr>
          <w:rFonts w:ascii="Times New Roman" w:eastAsia="MS Mincho" w:hAnsi="Times New Roman" w:cs="Times New Roman"/>
          <w:kern w:val="0"/>
          <w:sz w:val="22"/>
        </w:rPr>
        <w:t xml:space="preserve"> Xiao-Feng Li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80ABC">
        <w:rPr>
          <w:rFonts w:ascii="Times New Roman" w:eastAsia="MS Mincho" w:hAnsi="Times New Roman" w:cs="Times New Roman"/>
          <w:kern w:val="0"/>
          <w:sz w:val="22"/>
          <w:vertAlign w:val="superscript"/>
        </w:rPr>
        <w:t>a,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 xml:space="preserve"> </w:t>
      </w:r>
      <w:r w:rsidRPr="00280ABC">
        <w:rPr>
          <w:rFonts w:ascii="Times New Roman" w:eastAsia="MS Mincho" w:hAnsi="Times New Roman" w:cs="Times New Roman"/>
          <w:kern w:val="0"/>
          <w:sz w:val="22"/>
          <w:vertAlign w:val="superscript"/>
        </w:rPr>
        <w:t>b</w:t>
      </w: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 xml:space="preserve">, </w:t>
      </w:r>
      <w:r w:rsidRPr="00280ABC">
        <w:rPr>
          <w:rFonts w:ascii="Times New Roman" w:eastAsia="MS Mincho" w:hAnsi="Times New Roman" w:cs="Times New Roman"/>
          <w:kern w:val="0"/>
          <w:sz w:val="22"/>
          <w:vertAlign w:val="superscript"/>
        </w:rPr>
        <w:t>*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  <w:vertAlign w:val="superscript"/>
        </w:rPr>
      </w:pPr>
    </w:p>
    <w:p w:rsidR="00280ABC" w:rsidRPr="00280ABC" w:rsidRDefault="00280ABC" w:rsidP="00280ABC">
      <w:pPr>
        <w:tabs>
          <w:tab w:val="left" w:pos="426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proofErr w:type="gramStart"/>
      <w:r w:rsidRPr="00280ABC">
        <w:rPr>
          <w:rFonts w:ascii="Times New Roman" w:eastAsia="宋体" w:hAnsi="Times New Roman" w:cs="Times New Roman"/>
          <w:sz w:val="22"/>
          <w:vertAlign w:val="superscript"/>
        </w:rPr>
        <w:t>a</w:t>
      </w:r>
      <w:proofErr w:type="gramEnd"/>
      <w:r w:rsidRPr="00280ABC">
        <w:rPr>
          <w:rFonts w:ascii="Times New Roman" w:eastAsia="宋体" w:hAnsi="Times New Roman" w:cs="Times New Roman"/>
          <w:sz w:val="22"/>
          <w:vertAlign w:val="superscript"/>
        </w:rPr>
        <w:t xml:space="preserve"> </w:t>
      </w:r>
      <w:r w:rsidRPr="00280ABC">
        <w:rPr>
          <w:rFonts w:ascii="Times New Roman" w:eastAsia="宋体" w:hAnsi="Times New Roman" w:cs="Times New Roman"/>
          <w:sz w:val="22"/>
        </w:rPr>
        <w:t>School of Basic Medical Sciences, Anhui Medical University, Hefei 230032, China.</w:t>
      </w:r>
    </w:p>
    <w:p w:rsidR="00280ABC" w:rsidRPr="00280ABC" w:rsidRDefault="00280ABC" w:rsidP="00280ABC">
      <w:pPr>
        <w:tabs>
          <w:tab w:val="left" w:pos="426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proofErr w:type="gramStart"/>
      <w:r w:rsidRPr="00280ABC">
        <w:rPr>
          <w:rFonts w:ascii="Times New Roman" w:eastAsia="宋体" w:hAnsi="Times New Roman" w:cs="Times New Roman"/>
          <w:sz w:val="22"/>
          <w:vertAlign w:val="superscript"/>
        </w:rPr>
        <w:t>b</w:t>
      </w:r>
      <w:proofErr w:type="gramEnd"/>
      <w:r w:rsidRPr="00280ABC">
        <w:rPr>
          <w:rFonts w:ascii="Times New Roman" w:eastAsia="宋体" w:hAnsi="Times New Roman" w:cs="Times New Roman"/>
          <w:sz w:val="22"/>
        </w:rPr>
        <w:t xml:space="preserve"> State Key Laboratory of Pathogen and Biosecurity, Academy of Military Medical Sciences, Beijing, 100071, China.</w:t>
      </w:r>
    </w:p>
    <w:p w:rsidR="00280ABC" w:rsidRPr="00280ABC" w:rsidRDefault="00280ABC" w:rsidP="00280ABC">
      <w:pPr>
        <w:tabs>
          <w:tab w:val="left" w:pos="426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 w:rsidRPr="00280ABC">
        <w:rPr>
          <w:rFonts w:ascii="Times New Roman" w:eastAsia="宋体" w:hAnsi="Times New Roman" w:cs="Times New Roman"/>
          <w:sz w:val="22"/>
          <w:vertAlign w:val="superscript"/>
        </w:rPr>
        <w:t xml:space="preserve">c </w:t>
      </w:r>
      <w:r w:rsidRPr="00280ABC">
        <w:rPr>
          <w:rFonts w:ascii="Times New Roman" w:eastAsia="宋体" w:hAnsi="Times New Roman" w:cs="Times New Roman"/>
          <w:sz w:val="22"/>
        </w:rPr>
        <w:t xml:space="preserve">Department of Chemical Pathology and Li </w:t>
      </w:r>
      <w:proofErr w:type="spellStart"/>
      <w:r w:rsidRPr="00280ABC">
        <w:rPr>
          <w:rFonts w:ascii="Times New Roman" w:eastAsia="宋体" w:hAnsi="Times New Roman" w:cs="Times New Roman"/>
          <w:sz w:val="22"/>
        </w:rPr>
        <w:t>Ka</w:t>
      </w:r>
      <w:proofErr w:type="spellEnd"/>
      <w:r w:rsidRPr="00280ABC">
        <w:rPr>
          <w:rFonts w:ascii="Times New Roman" w:eastAsia="宋体" w:hAnsi="Times New Roman" w:cs="Times New Roman"/>
          <w:sz w:val="22"/>
        </w:rPr>
        <w:t xml:space="preserve"> </w:t>
      </w:r>
      <w:proofErr w:type="spellStart"/>
      <w:r w:rsidRPr="00280ABC">
        <w:rPr>
          <w:rFonts w:ascii="Times New Roman" w:eastAsia="宋体" w:hAnsi="Times New Roman" w:cs="Times New Roman"/>
          <w:sz w:val="22"/>
        </w:rPr>
        <w:t>Shing</w:t>
      </w:r>
      <w:proofErr w:type="spellEnd"/>
      <w:r w:rsidRPr="00280ABC">
        <w:rPr>
          <w:rFonts w:ascii="Times New Roman" w:eastAsia="宋体" w:hAnsi="Times New Roman" w:cs="Times New Roman"/>
          <w:sz w:val="22"/>
        </w:rPr>
        <w:t xml:space="preserve"> Institute of Health Sciences, Chinese University of Hong Kong, Hong Kong SAR, China.</w:t>
      </w:r>
    </w:p>
    <w:p w:rsidR="00280ABC" w:rsidRPr="00280ABC" w:rsidRDefault="00280ABC" w:rsidP="00280ABC">
      <w:pPr>
        <w:tabs>
          <w:tab w:val="left" w:pos="426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proofErr w:type="gramStart"/>
      <w:r w:rsidRPr="00280ABC">
        <w:rPr>
          <w:rFonts w:ascii="Times New Roman" w:eastAsia="宋体" w:hAnsi="Times New Roman" w:cs="Times New Roman"/>
          <w:sz w:val="22"/>
          <w:vertAlign w:val="superscript"/>
        </w:rPr>
        <w:t>d</w:t>
      </w:r>
      <w:proofErr w:type="gramEnd"/>
      <w:r w:rsidRPr="00280ABC">
        <w:rPr>
          <w:rFonts w:ascii="Times New Roman" w:eastAsia="宋体" w:hAnsi="Times New Roman" w:cs="Times New Roman"/>
          <w:sz w:val="22"/>
          <w:vertAlign w:val="superscript"/>
        </w:rPr>
        <w:t xml:space="preserve"> </w:t>
      </w:r>
      <w:r w:rsidRPr="00280ABC">
        <w:rPr>
          <w:rFonts w:ascii="Times New Roman" w:eastAsia="宋体" w:hAnsi="Times New Roman" w:cs="Times New Roman"/>
          <w:sz w:val="22"/>
        </w:rPr>
        <w:t>Shenzhen Research Institute, The Chinese University of Hong Kong, Shenzhen, 518063, China</w:t>
      </w:r>
    </w:p>
    <w:p w:rsidR="00280ABC" w:rsidRPr="00280ABC" w:rsidRDefault="00280ABC" w:rsidP="00280ABC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proofErr w:type="gramStart"/>
      <w:r w:rsidRPr="00280ABC">
        <w:rPr>
          <w:rFonts w:ascii="Times New Roman" w:eastAsia="宋体" w:hAnsi="Times New Roman" w:cs="Times New Roman"/>
          <w:sz w:val="22"/>
          <w:vertAlign w:val="superscript"/>
        </w:rPr>
        <w:t>e</w:t>
      </w:r>
      <w:proofErr w:type="gramEnd"/>
      <w:r w:rsidRPr="00280ABC">
        <w:rPr>
          <w:rFonts w:ascii="Times New Roman" w:eastAsia="宋体" w:hAnsi="Times New Roman" w:cs="Times New Roman"/>
          <w:sz w:val="22"/>
        </w:rPr>
        <w:t xml:space="preserve"> National Laboratory of Macromolecules, Institute of Biophysics, Chinese Academy of Sciences, Beijing 100101, China.</w:t>
      </w:r>
    </w:p>
    <w:p w:rsidR="00280ABC" w:rsidRPr="00280ABC" w:rsidRDefault="00280ABC" w:rsidP="00280ABC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 w:rsidRPr="00280ABC">
        <w:rPr>
          <w:rFonts w:ascii="Times New Roman" w:eastAsia="宋体" w:hAnsi="Times New Roman" w:cs="Times New Roman"/>
          <w:sz w:val="22"/>
          <w:vertAlign w:val="superscript"/>
        </w:rPr>
        <w:t xml:space="preserve">f </w:t>
      </w:r>
      <w:r w:rsidRPr="00280ABC">
        <w:rPr>
          <w:rFonts w:ascii="Times New Roman" w:eastAsia="宋体" w:hAnsi="Times New Roman" w:cs="Times New Roman"/>
          <w:sz w:val="22"/>
        </w:rPr>
        <w:t xml:space="preserve">State Key Laboratory of </w:t>
      </w:r>
      <w:proofErr w:type="spellStart"/>
      <w:r w:rsidRPr="00280ABC">
        <w:rPr>
          <w:rFonts w:ascii="Times New Roman" w:eastAsia="宋体" w:hAnsi="Times New Roman" w:cs="Times New Roman"/>
          <w:sz w:val="22"/>
        </w:rPr>
        <w:t>Agrobiotechnology</w:t>
      </w:r>
      <w:proofErr w:type="spellEnd"/>
      <w:r w:rsidRPr="00280ABC">
        <w:rPr>
          <w:rFonts w:ascii="Times New Roman" w:eastAsia="宋体" w:hAnsi="Times New Roman" w:cs="Times New Roman"/>
          <w:sz w:val="22"/>
        </w:rPr>
        <w:t xml:space="preserve">, </w:t>
      </w:r>
      <w:proofErr w:type="spellStart"/>
      <w:r w:rsidRPr="00280ABC">
        <w:rPr>
          <w:rFonts w:ascii="Times New Roman" w:eastAsia="宋体" w:hAnsi="Times New Roman" w:cs="Times New Roman"/>
          <w:sz w:val="22"/>
        </w:rPr>
        <w:t>AoE</w:t>
      </w:r>
      <w:proofErr w:type="spellEnd"/>
      <w:r w:rsidRPr="00280ABC">
        <w:rPr>
          <w:rFonts w:ascii="Times New Roman" w:eastAsia="宋体" w:hAnsi="Times New Roman" w:cs="Times New Roman"/>
          <w:sz w:val="22"/>
        </w:rPr>
        <w:t xml:space="preserve"> Centre for Plant Vacuole Biology and Biotechnology, School of Life Sciences, The Chinese University of Hong Kong, Hong Kong S.A.R, China.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  <w:r w:rsidRPr="00280ABC">
        <w:rPr>
          <w:rFonts w:ascii="Times New Roman" w:eastAsia="宋体" w:hAnsi="Times New Roman" w:cs="Times New Roman"/>
          <w:kern w:val="0"/>
          <w:sz w:val="22"/>
          <w:vertAlign w:val="superscript"/>
        </w:rPr>
        <w:t>1</w:t>
      </w:r>
      <w:r w:rsidRPr="00280ABC">
        <w:rPr>
          <w:rFonts w:ascii="Times New Roman" w:eastAsia="宋体" w:hAnsi="Times New Roman" w:cs="Times New Roman"/>
          <w:kern w:val="0"/>
          <w:sz w:val="22"/>
        </w:rPr>
        <w:t xml:space="preserve">Yue Zhang and </w:t>
      </w:r>
      <w:proofErr w:type="spellStart"/>
      <w:r w:rsidRPr="00280ABC">
        <w:rPr>
          <w:rFonts w:ascii="Times New Roman" w:eastAsia="宋体" w:hAnsi="Times New Roman" w:cs="Times New Roman"/>
          <w:kern w:val="0"/>
          <w:sz w:val="22"/>
        </w:rPr>
        <w:t>Xiu</w:t>
      </w:r>
      <w:proofErr w:type="spellEnd"/>
      <w:r w:rsidRPr="00280ABC">
        <w:rPr>
          <w:rFonts w:ascii="Times New Roman" w:eastAsia="宋体" w:hAnsi="Times New Roman" w:cs="Times New Roman"/>
          <w:kern w:val="0"/>
          <w:sz w:val="22"/>
        </w:rPr>
        <w:t>-Li Yan contributed equally to this work.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  <w:r w:rsidRPr="00280ABC">
        <w:rPr>
          <w:rFonts w:ascii="Times New Roman" w:eastAsia="宋体" w:hAnsi="Times New Roman" w:cs="Times New Roman"/>
          <w:kern w:val="0"/>
          <w:sz w:val="22"/>
        </w:rPr>
        <w:t xml:space="preserve">Corresponding authors: 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  <w:r w:rsidRPr="00280ABC">
        <w:rPr>
          <w:rFonts w:ascii="Times New Roman" w:eastAsia="宋体" w:hAnsi="Times New Roman" w:cs="Times New Roman"/>
          <w:kern w:val="0"/>
          <w:sz w:val="22"/>
        </w:rPr>
        <w:t xml:space="preserve">Email address: xiaofeng_li_bj@163.com (Xiao-Feng Li), mingyuanli@cuhk.edu.hk (Ming-Yuan Li), qincf@bmi.ac.cn (Cheng-Feng Qin) 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  <w:r w:rsidRPr="00280ABC">
        <w:rPr>
          <w:rFonts w:ascii="Times New Roman" w:eastAsia="宋体" w:hAnsi="Times New Roman" w:cs="Times New Roman"/>
          <w:kern w:val="0"/>
          <w:sz w:val="22"/>
        </w:rPr>
        <w:t>OCRID: 0000-0002-5014-7102 (Xiao-Feng Li), 0009-0003-9253-8579 (Ming-Yuan Li), 0000-0002-0632-2807 (Cheng-Feng Qin)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</w:rPr>
      </w:pPr>
    </w:p>
    <w:p w:rsidR="00280ABC" w:rsidRPr="00280ABC" w:rsidRDefault="00280ABC" w:rsidP="00280ABC">
      <w:pPr>
        <w:widowControl/>
        <w:tabs>
          <w:tab w:val="left" w:pos="426"/>
        </w:tabs>
        <w:adjustRightInd w:val="0"/>
        <w:snapToGrid w:val="0"/>
        <w:spacing w:line="360" w:lineRule="auto"/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sectPr w:rsidR="00280ABC" w:rsidRPr="00280ABC" w:rsidSect="00280AB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280ABC" w:rsidRPr="00280ABC" w:rsidRDefault="00280ABC" w:rsidP="00280ABC">
      <w:pPr>
        <w:widowControl/>
        <w:tabs>
          <w:tab w:val="left" w:pos="426"/>
        </w:tabs>
        <w:adjustRightInd w:val="0"/>
        <w:snapToGrid w:val="0"/>
        <w:spacing w:line="360" w:lineRule="auto"/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sectPr w:rsidR="00280ABC" w:rsidRPr="00280ABC" w:rsidSect="00280ABC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kern w:val="0"/>
          <w:sz w:val="24"/>
        </w:rPr>
      </w:pPr>
      <w:r w:rsidRPr="00280ABC">
        <w:rPr>
          <w:rFonts w:ascii="Times New Roman" w:eastAsia="宋体" w:hAnsi="Times New Roman" w:cs="Times New Roman"/>
          <w:b/>
          <w:kern w:val="0"/>
          <w:sz w:val="24"/>
        </w:rPr>
        <w:lastRenderedPageBreak/>
        <w:t>Figures</w:t>
      </w:r>
    </w:p>
    <w:p w:rsidR="00280ABC" w:rsidRPr="00280ABC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kern w:val="0"/>
          <w:sz w:val="24"/>
        </w:rPr>
      </w:pPr>
      <w:r w:rsidRPr="009D54B0">
        <w:rPr>
          <w:rFonts w:ascii="Times New Roman" w:eastAsia="宋体" w:hAnsi="Times New Roman" w:cs="Times New Roman"/>
          <w:b/>
          <w:noProof/>
          <w:kern w:val="0"/>
          <w:sz w:val="24"/>
        </w:rPr>
        <w:drawing>
          <wp:inline distT="0" distB="0" distL="0" distR="0">
            <wp:extent cx="6188710" cy="6773199"/>
            <wp:effectExtent l="0" t="0" r="2540" b="8890"/>
            <wp:docPr id="1" name="图片 1" descr="E:\VS 稿件\2026 publication\7446-\7446 R3\VS7446 to prod\VS7446 Fig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VS 稿件\2026 publication\7446-\7446 R3\VS7446 to prod\VS7446 Fig S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77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Fig. S1. </w:t>
      </w:r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Characterization of extracellular 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vesicles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 (EVs) isolated via differential ultracentrifugation (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dUC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) versus commercial kit.</w:t>
      </w: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 xml:space="preserve">A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Schematic of differential ultracentrifugation (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dUC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) workflow and a commercial isolation kit for isolating EVs from cell supernatants.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B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Nano-flow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cytometry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(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nFCM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) size distribution profiles of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dUC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-EV (top) and Kit-EV (bottom) from mock-infected and ZIKV-infected cell supernatants. Event denotes the number of particles detected at each size.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C, D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Quantification of mean particle size (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C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) and concentration (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D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) of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dUC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-EV and Kit-EV from mock-infected and ZIKV-infected cells. No significant differences were observed between isolation methods.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E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Western blot analysis of EV markers CD9, CD63, and ALIX and ZIKV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lastRenderedPageBreak/>
        <w:t xml:space="preserve">envelope protein in Kit-EV and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dUC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-EV from mock-infected and ZIKV-infected cell supernatants. </w:t>
      </w:r>
      <w:bookmarkStart w:id="1" w:name="OLE_LINK219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Data represent mean ± SD,</w:t>
      </w:r>
      <w:bookmarkStart w:id="2" w:name="OLE_LINK218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n = 3 independent experiments.</w:t>
      </w:r>
      <w:bookmarkEnd w:id="2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</w:t>
      </w:r>
      <w:bookmarkEnd w:id="1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Statistical significance was determined by Student’s unpaired t-test (ns, not significant).</w:t>
      </w:r>
    </w:p>
    <w:p w:rsidR="009D54B0" w:rsidRPr="00280ABC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bookmarkStart w:id="3" w:name="OLE_LINK186"/>
      <w:r w:rsidRPr="009D54B0">
        <w:rPr>
          <w:rFonts w:ascii="Times New Roman" w:eastAsia="MS Mincho" w:hAnsi="Times New Roman" w:cs="Times New Roman"/>
          <w:noProof/>
          <w:kern w:val="0"/>
          <w:sz w:val="22"/>
        </w:rPr>
        <w:drawing>
          <wp:inline distT="0" distB="0" distL="0" distR="0">
            <wp:extent cx="5327650" cy="5200650"/>
            <wp:effectExtent l="0" t="0" r="6350" b="0"/>
            <wp:docPr id="2" name="图片 2" descr="E:\VS 稿件\2026 publication\7446-\7446 R3\VS7446 to prod\VS7446 Fig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VS 稿件\2026 publication\7446-\7446 R3\VS7446 to prod\VS7446 Fig S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Fig. S2. </w:t>
      </w:r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Morphological characterization of EVs purified from ZILV-infected cells by TEM.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EVs were purified from the culture supernatants of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HeLa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cells infected with ZIKV strain GZ01 at a multiplicity of infection (MOI) of 0.1 at 48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h.p.i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. EV-enriched samples were negatively stained with 2% (w/v)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uranyl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acetate and visualized by TEM. Left and right panels show representative micrographs at 12,000× and 30,000× magnification, respectively. Red boxes indicate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exosomes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encapsulating intact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virion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-like particles, characterized by high-electron-density viral cores enclosed within the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exosomal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lipid bilayer. Black boxes denote canonical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exosomes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without viral cargo, exhibiting uniform intraluminal electron density. Scale bars, 500 nm (Left panel), 200 nm (right panel).</w:t>
      </w:r>
    </w:p>
    <w:bookmarkEnd w:id="3"/>
    <w:p w:rsidR="00280ABC" w:rsidRPr="00280ABC" w:rsidRDefault="009D54B0" w:rsidP="00280ABC">
      <w:pPr>
        <w:widowControl/>
        <w:adjustRightInd w:val="0"/>
        <w:snapToGrid w:val="0"/>
        <w:spacing w:line="360" w:lineRule="auto"/>
        <w:ind w:firstLineChars="150" w:firstLine="330"/>
        <w:jc w:val="center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9D54B0">
        <w:rPr>
          <w:rFonts w:ascii="Times New Roman" w:eastAsia="MS Mincho" w:hAnsi="Times New Roman" w:cs="Times New Roman"/>
          <w:noProof/>
          <w:kern w:val="0"/>
          <w:sz w:val="22"/>
        </w:rPr>
        <w:lastRenderedPageBreak/>
        <w:drawing>
          <wp:inline distT="0" distB="0" distL="0" distR="0">
            <wp:extent cx="2571750" cy="2312725"/>
            <wp:effectExtent l="0" t="0" r="0" b="0"/>
            <wp:docPr id="3" name="图片 3" descr="E:\VS 稿件\2026 publication\7446-\7446 R3\VS7446 to prod\VS7446 Fig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VS 稿件\2026 publication\7446-\7446 R3\VS7446 to prod\VS7446 Fig S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0" cy="2314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4B0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Fig. S3. </w:t>
      </w:r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Relative mRNA levels after 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siRNA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 transfection in 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HeLa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 cell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.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HeLa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cells were transfected with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siRNAs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designed to specifically target the genes </w:t>
      </w:r>
      <w:r w:rsidRPr="00280ABC">
        <w:rPr>
          <w:rFonts w:ascii="Times New Roman" w:eastAsia="MS Mincho" w:hAnsi="Times New Roman" w:cs="Times New Roman"/>
          <w:i/>
          <w:kern w:val="0"/>
          <w:sz w:val="22"/>
          <w:lang w:eastAsia="en-US"/>
        </w:rPr>
        <w:t xml:space="preserve">ABCB1, EHD4, EIF4E, HSPA4, ITGAV, ITGB1, SDC4, SHMT1,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and</w:t>
      </w:r>
      <w:r w:rsidRPr="00280ABC">
        <w:rPr>
          <w:rFonts w:ascii="Times New Roman" w:eastAsia="MS Mincho" w:hAnsi="Times New Roman" w:cs="Times New Roman"/>
          <w:i/>
          <w:kern w:val="0"/>
          <w:sz w:val="22"/>
          <w:lang w:eastAsia="en-US"/>
        </w:rPr>
        <w:t xml:space="preserve"> TXNDC5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. Forty-eight hours after transfection, total RNA was collected, and the mRNA levels of each targeted gene were measured using RT-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qPCR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. Gene expression was normalized to GAPDH and is shown as relative expression compared to cells treated with non-targeting control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siRNA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(NT). Data represent mean ± SD, n=3 independent experiments. </w:t>
      </w:r>
    </w:p>
    <w:p w:rsidR="009D54B0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9D54B0">
        <w:rPr>
          <w:rFonts w:ascii="Times New Roman" w:eastAsia="MS Mincho" w:hAnsi="Times New Roman" w:cs="Times New Roman"/>
          <w:noProof/>
          <w:kern w:val="0"/>
          <w:sz w:val="22"/>
        </w:rPr>
        <w:drawing>
          <wp:inline distT="0" distB="0" distL="0" distR="0">
            <wp:extent cx="6121400" cy="3759200"/>
            <wp:effectExtent l="0" t="0" r="0" b="0"/>
            <wp:docPr id="4" name="图片 4" descr="E:\VS 稿件\2026 publication\7446-\7446 R3\VS7446 to prod\VS7446 Fig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VS 稿件\2026 publication\7446-\7446 R3\VS7446 to prod\VS7446 Fig S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37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ind w:firstLineChars="150" w:firstLine="330"/>
        <w:jc w:val="center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Fig. S4.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Generation of EHD4 knockout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HeLa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cells.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A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Diagram showing the design of EHD4 knockout plasmids using the PX459 vector. These plasmids were introduced into cells, and the CRISPR/Cas9 system was used to create EHD4 knockout (KO) cell lines. Following single-cell cloning, cell extracts were prepared. The knockout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lastRenderedPageBreak/>
        <w:t>efficiency was assessed by RT-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qPCR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with primers targeting the EHD4 gene, using β-actin as a reference gene, and by Western blot analysis with an antibody specific for EHD4, using GAPDH as a loading control.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B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RT-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qPCR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data demonstrating successful knockout of EHD4 in monoclonal EHD4 KO cells. Data represent mean ± SD, n=3 independent experiments.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C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Western blot analysis confirming the absence of EHD4 protein in monoclonal knockout cell lines.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D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Cell viability assay performed on the WT and EHD4 KO cell lines. Data represent mean ± SD, n = 3 independent experiments. Statistical significance was determined by Student’s unpaired </w:t>
      </w:r>
      <w:r w:rsidRPr="00280ABC">
        <w:rPr>
          <w:rFonts w:ascii="Times New Roman" w:eastAsia="MS Mincho" w:hAnsi="Times New Roman" w:cs="Times New Roman"/>
          <w:i/>
          <w:kern w:val="0"/>
          <w:sz w:val="22"/>
          <w:lang w:eastAsia="en-US"/>
        </w:rPr>
        <w:t>t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-test (ns, not significant).</w:t>
      </w:r>
    </w:p>
    <w:p w:rsidR="009D54B0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9D54B0" w:rsidRPr="00280ABC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9D54B0" w:rsidP="00280ABC">
      <w:pPr>
        <w:widowControl/>
        <w:adjustRightInd w:val="0"/>
        <w:snapToGrid w:val="0"/>
        <w:spacing w:line="360" w:lineRule="auto"/>
        <w:ind w:firstLineChars="150" w:firstLine="330"/>
        <w:jc w:val="center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9D54B0">
        <w:rPr>
          <w:rFonts w:ascii="Times New Roman" w:eastAsia="MS Mincho" w:hAnsi="Times New Roman" w:cs="Times New Roman"/>
          <w:noProof/>
          <w:kern w:val="0"/>
          <w:sz w:val="22"/>
        </w:rPr>
        <w:drawing>
          <wp:inline distT="0" distB="0" distL="0" distR="0">
            <wp:extent cx="6121400" cy="2089150"/>
            <wp:effectExtent l="0" t="0" r="0" b="6350"/>
            <wp:docPr id="11" name="图片 11" descr="E:\VS 稿件\2026 publication\7446-\7446 R3\VS7446 to prod\VS7446 Fig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VS 稿件\2026 publication\7446-\7446 R3\VS7446 to prod\VS7446 Fig S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Fig. S5. </w:t>
      </w:r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Replication of ZIKV GZ01 strain in WT and KO A549 and Vero cells.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A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Western blot analysis confirming the absence of EHD4 protein in EHD4 knockout A549 cells.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 xml:space="preserve"> B, C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Viral replication kinetics in WT and EHD4 KO cells infected with ZIKV GZ01 strain at MOI=0.01. Viral RNA copies in cell culture supernatants were quantified by RT-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qPCR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at indicated times. Data represent mean ± SEM, n = 3 independent experiments. Statistical significance was determined by two-way ANOVA (*</w:t>
      </w:r>
      <w:r w:rsidRPr="00280ABC">
        <w:rPr>
          <w:rFonts w:ascii="Times New Roman" w:eastAsia="MS Mincho" w:hAnsi="Times New Roman" w:cs="Times New Roman"/>
          <w:i/>
          <w:kern w:val="0"/>
          <w:sz w:val="22"/>
          <w:lang w:eastAsia="en-US"/>
        </w:rPr>
        <w:t>P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&lt; 0.05; **</w:t>
      </w:r>
      <w:r w:rsidRPr="00280ABC">
        <w:rPr>
          <w:rFonts w:ascii="Times New Roman" w:eastAsia="MS Mincho" w:hAnsi="Times New Roman" w:cs="Times New Roman"/>
          <w:i/>
          <w:kern w:val="0"/>
          <w:sz w:val="22"/>
          <w:lang w:eastAsia="en-US"/>
        </w:rPr>
        <w:t>P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&lt; 0.01; ns, not significant).</w:t>
      </w:r>
    </w:p>
    <w:p w:rsidR="009D54B0" w:rsidRPr="00280ABC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9D54B0" w:rsidP="00280ABC">
      <w:pPr>
        <w:widowControl/>
        <w:adjustRightInd w:val="0"/>
        <w:snapToGrid w:val="0"/>
        <w:spacing w:line="360" w:lineRule="auto"/>
        <w:ind w:firstLineChars="150" w:firstLine="330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9D54B0">
        <w:rPr>
          <w:rFonts w:ascii="Times New Roman" w:eastAsia="MS Mincho" w:hAnsi="Times New Roman" w:cs="Times New Roman"/>
          <w:noProof/>
          <w:kern w:val="0"/>
          <w:sz w:val="22"/>
        </w:rPr>
        <w:drawing>
          <wp:inline distT="0" distB="0" distL="0" distR="0">
            <wp:extent cx="6188710" cy="2509866"/>
            <wp:effectExtent l="0" t="0" r="2540" b="5080"/>
            <wp:docPr id="6" name="图片 6" descr="E:\VS 稿件\2026 publication\7446-\7446 R3\VS7446 to prod\VS7446 Fig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VS 稿件\2026 publication\7446-\7446 R3\VS7446 to prod\VS7446 Fig S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50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lastRenderedPageBreak/>
        <w:t>Fig. S6.</w:t>
      </w:r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 Characterization of EVs isolated from WT and KO Cells.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A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Schematic of EV isolation. Cell culture supernatants were collected and centrifuged at 2,000 × g to remove cellular debris. Total EV Isolation Reagent (Invitrogen) was added (0.5 volumes), and the mixture was incubated overnight at 4°C. Following centrifugation at 10,000 × g for 1 hour, the supernatant was discarded. The resulting pellet was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resuspended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in 1 mL of PBS to obtain the EV fraction (the exact particle number of WT and KO was 8.15×10</w:t>
      </w:r>
      <w:r w:rsidRPr="00280ABC">
        <w:rPr>
          <w:rFonts w:ascii="Times New Roman" w:eastAsia="MS Mincho" w:hAnsi="Times New Roman" w:cs="Times New Roman"/>
          <w:kern w:val="0"/>
          <w:sz w:val="22"/>
          <w:vertAlign w:val="superscript"/>
          <w:lang w:eastAsia="en-US"/>
        </w:rPr>
        <w:t>9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and 9.01×10</w:t>
      </w:r>
      <w:r w:rsidRPr="00280ABC">
        <w:rPr>
          <w:rFonts w:ascii="Times New Roman" w:eastAsia="MS Mincho" w:hAnsi="Times New Roman" w:cs="Times New Roman"/>
          <w:kern w:val="0"/>
          <w:sz w:val="22"/>
          <w:vertAlign w:val="superscript"/>
          <w:lang w:eastAsia="en-US"/>
        </w:rPr>
        <w:t>9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particles/mL, respectively). EV concentration and size distribution were analyzed using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nano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-flow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cytometry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(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nFCM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).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B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EV abundance distribution. Particle concentration is plotted against particle size.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C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Concentration of EVs. Particles within the typical EV size range were quantified.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D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Diameter distribution of EVs. Data represent mean ± SD, n = 3 independent experiments. Statistical significance was determined using Student’s unpaired</w:t>
      </w:r>
      <w:r w:rsidRPr="00280ABC">
        <w:rPr>
          <w:rFonts w:ascii="Times New Roman" w:eastAsia="MS Mincho" w:hAnsi="Times New Roman" w:cs="Times New Roman"/>
          <w:i/>
          <w:kern w:val="0"/>
          <w:sz w:val="22"/>
          <w:lang w:eastAsia="en-US"/>
        </w:rPr>
        <w:t xml:space="preserve"> t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-test (ns, not significant).</w:t>
      </w:r>
    </w:p>
    <w:p w:rsidR="009D54B0" w:rsidRPr="00280ABC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9D54B0" w:rsidP="00280ABC">
      <w:pPr>
        <w:widowControl/>
        <w:adjustRightInd w:val="0"/>
        <w:snapToGrid w:val="0"/>
        <w:spacing w:line="360" w:lineRule="auto"/>
        <w:ind w:firstLineChars="150" w:firstLine="331"/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</w:pPr>
      <w:r w:rsidRPr="009D54B0">
        <w:rPr>
          <w:rFonts w:ascii="Times New Roman" w:eastAsia="MS Mincho" w:hAnsi="Times New Roman" w:cs="Times New Roman"/>
          <w:b/>
          <w:bCs/>
          <w:noProof/>
          <w:kern w:val="0"/>
          <w:sz w:val="22"/>
        </w:rPr>
        <w:drawing>
          <wp:inline distT="0" distB="0" distL="0" distR="0">
            <wp:extent cx="6188710" cy="1890995"/>
            <wp:effectExtent l="0" t="0" r="2540" b="0"/>
            <wp:docPr id="7" name="图片 7" descr="E:\VS 稿件\2026 publication\7446-\7446 R3\VS7446 to prod\VS7446 Fig 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VS 稿件\2026 publication\7446-\7446 R3\VS7446 to prod\VS7446 Fig S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89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Fig. S7. </w:t>
      </w:r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RT-PCR amplification of complete coding sequence of ZIKV genome from EAV derived from WT and EHD4 KO 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HeLa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 cells.</w:t>
      </w: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EAVs were isolated from supernatants of WT and EHD4 KO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HeLa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cells infected with ZIKV strain GZ01 (MOI = 0.1) at 48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h.p.i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. Total RNA was extracted from EAV fractions, and seven overlapping primer pairs were used to amplify the entire ZIKV genome (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GenBank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accession number: </w:t>
      </w:r>
      <w:bookmarkStart w:id="4" w:name="OLE_LINK187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KU820898</w:t>
      </w:r>
      <w:bookmarkEnd w:id="4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). Lanes M: DNA molecular weight marker (kb); Lanes 1–7: RT-PCR products from WT EAVs; Lanes 8–14: RT-PCR products from EHD4 KO EAVs. The amplified fragments and corresponding primer pairs (primer sequences are listed in Table S6 below) are as follows: Lane 1/8: 5'UTR-Capsid-prM-E (F1R3, 2.2 kb); Lane 2/9: E-NS1-NS2A-NS2B (F4R6, 2.1 kb); Lane 3/10: NS2B-NS3 (F7R8, 1.6 kb); Lane 4/11: NS3-NS4A-NS4B (F9R9, 1.2 kb); Lane 5/12: NS4A-NS4B-NS5 (F10R12, 2.1 kb); Lane 6/13: NS5 (F13R14, 1.2 kb); Lane 7/14: NS5 (F15R15, 0.7 kb). All amplified fragments showed the expected sizes, indicating that EAVs from both WT and EHD4 KO cells contain full-length ZIKV genomic RNA rather than fragmented viral RNA.</w:t>
      </w:r>
    </w:p>
    <w:p w:rsidR="00280ABC" w:rsidRPr="00280ABC" w:rsidRDefault="00FF6195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bookmarkStart w:id="5" w:name="_GoBack"/>
      <w:r w:rsidRPr="00FF6195">
        <w:rPr>
          <w:rFonts w:ascii="Times New Roman" w:eastAsia="MS Mincho" w:hAnsi="Times New Roman" w:cs="Times New Roman"/>
          <w:noProof/>
          <w:kern w:val="0"/>
          <w:sz w:val="22"/>
        </w:rPr>
        <w:lastRenderedPageBreak/>
        <w:drawing>
          <wp:inline distT="0" distB="0" distL="0" distR="0">
            <wp:extent cx="4893945" cy="4052570"/>
            <wp:effectExtent l="0" t="0" r="1905" b="5080"/>
            <wp:docPr id="12" name="图片 12" descr="E:\VS 稿件\2026 publication\7446-\7446 R3\VS7446 to prod\VS7446 Fig 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VS 稿件\2026 publication\7446-\7446 R3\VS7446 to prod\VS7446 Fig S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5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:rsid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Fig. S8. </w:t>
      </w:r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Plasmid map of 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pcDNA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-human EHD4 expression vector.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</w:t>
      </w:r>
    </w:p>
    <w:p w:rsidR="009D54B0" w:rsidRPr="00280ABC" w:rsidRDefault="009D54B0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9D54B0" w:rsidP="00280ABC">
      <w:pPr>
        <w:widowControl/>
        <w:adjustRightInd w:val="0"/>
        <w:snapToGrid w:val="0"/>
        <w:spacing w:line="360" w:lineRule="auto"/>
        <w:ind w:firstLineChars="150" w:firstLine="330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9D54B0">
        <w:rPr>
          <w:rFonts w:ascii="Times New Roman" w:eastAsia="MS Mincho" w:hAnsi="Times New Roman" w:cs="Times New Roman"/>
          <w:noProof/>
          <w:kern w:val="0"/>
          <w:sz w:val="22"/>
        </w:rPr>
        <w:drawing>
          <wp:inline distT="0" distB="0" distL="0" distR="0">
            <wp:extent cx="5797550" cy="2806700"/>
            <wp:effectExtent l="0" t="0" r="0" b="0"/>
            <wp:docPr id="9" name="图片 9" descr="E:\VS 稿件\2026 publication\7446-\7446 R3\VS7446 to prod\VS7446 Fig 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VS 稿件\2026 publication\7446-\7446 R3\VS7446 to prod\VS7446 Fig S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bCs/>
          <w:kern w:val="0"/>
          <w:sz w:val="22"/>
          <w:lang w:eastAsia="en-US"/>
        </w:rPr>
        <w:t xml:space="preserve">Fig. S9. </w:t>
      </w:r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Optimization of Triton X-100 treatment conditions for EV membrane disruption via 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nano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-flow 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cytometry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 xml:space="preserve"> (</w:t>
      </w:r>
      <w:proofErr w:type="spellStart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nFCM</w:t>
      </w:r>
      <w:proofErr w:type="spellEnd"/>
      <w:r w:rsidRPr="00280ABC">
        <w:rPr>
          <w:rFonts w:ascii="Times New Roman" w:eastAsia="MS Mincho" w:hAnsi="Times New Roman" w:cs="Times New Roman"/>
          <w:bCs/>
          <w:kern w:val="0"/>
          <w:sz w:val="22"/>
          <w:lang w:eastAsia="en-US"/>
        </w:rPr>
        <w:t>).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</w:t>
      </w:r>
      <w:proofErr w:type="gramStart"/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A</w:t>
      </w:r>
      <w:proofErr w:type="gramEnd"/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 xml:space="preserve">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nFCM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analysis of mock-treated EVs. The histogram depicts the particle size distribution (40-200 nm) and corresponding concentration (particles/mL) of intact EVs, showing a dominant population of particles consistent with typical EV size (40</w:t>
      </w:r>
      <w:r w:rsidR="009D54B0" w:rsidRPr="009D54B0">
        <w:rPr>
          <w:rFonts w:ascii="Times New Roman" w:eastAsia="MS Mincho" w:hAnsi="Times New Roman" w:cs="Times New Roman"/>
          <w:kern w:val="0"/>
          <w:sz w:val="22"/>
          <w:lang w:eastAsia="en-US"/>
        </w:rPr>
        <w:t>–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150 nm). </w:t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t>B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nFCM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analysis of EVs treated with 0.05% Triton X-100 for 10, 20, or 30 minutes. Histograms illustrate changes in particle size distribution and concentration 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lastRenderedPageBreak/>
        <w:t>following treatment. These data indicate that 0.05% Triton X-100 induces time-dependent EVs membrane disruption, with 30 minutes of treatment effectively eliminating the intact EV population.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ind w:firstLineChars="68" w:firstLine="150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br w:type="page"/>
      </w: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lastRenderedPageBreak/>
        <w:t>Table S1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siRNA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targeting sequences in selected genes</w:t>
      </w:r>
    </w:p>
    <w:tbl>
      <w:tblPr>
        <w:tblW w:w="8222" w:type="dxa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6302"/>
      </w:tblGrid>
      <w:tr w:rsidR="00280ABC" w:rsidRPr="00280ABC" w:rsidTr="00D62A06">
        <w:trPr>
          <w:trHeight w:val="249"/>
        </w:trPr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1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Name</w:t>
            </w:r>
          </w:p>
        </w:tc>
        <w:tc>
          <w:tcPr>
            <w:tcW w:w="63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1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Sequence (5′→3′)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EHD4</w:t>
            </w:r>
          </w:p>
        </w:tc>
        <w:tc>
          <w:tcPr>
            <w:tcW w:w="63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GGCAAGATATCAGGTGTCA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HSPA4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GGAAGAAATACAAGCTAGA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CCT4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CAAGCCAGTTGCTCATATT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GCAAACTGCTCAAGATTAC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CCTACTGCGTTCGTGCTTT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GCATTACACTTTCTGAATA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GTACCAAGCTTCTTCAGAA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GTCTAAGGCTCAAGATATA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ABCB1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CACTGTTACTCTTAGCAAT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GAGCTTAACACCCGACTTA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GTGATAGCTCATCGTTTGT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TXNDC5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GCCAAGAAGCTGTGAAGTA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CCAAGCGAAAGACGAACTT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GCACAAGGCGACCACTTTA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EIF4E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TGGCGCTGTTGTTAATGTT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AGAGCTAAAGGTGATAAGA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AGGACGATGGCTAATTACA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SDC4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CCAAGAAACTAGAGGAGAA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TGATCCTACTGCTCATGTA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GCAGGAATCTGATGACTTT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SHMT1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GACCCATGGGTTCATGACA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GCGGGACTGAGTTTATTGA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ITGAV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GTCAGCTTATTTCGGATCA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CCACCAAGCTTTGGCTATT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CACGCCTGCTAACATTAGT</w:t>
            </w:r>
          </w:p>
        </w:tc>
      </w:tr>
      <w:tr w:rsidR="00280ABC" w:rsidRPr="00280ABC" w:rsidTr="00D62A06">
        <w:trPr>
          <w:trHeight w:val="249"/>
        </w:trPr>
        <w:tc>
          <w:tcPr>
            <w:tcW w:w="19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ITGB1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CCCTAAGTCAGCAGTAGGA</w:t>
            </w:r>
          </w:p>
        </w:tc>
      </w:tr>
      <w:tr w:rsidR="00280ABC" w:rsidRPr="00280ABC" w:rsidTr="00D62A06">
        <w:trPr>
          <w:trHeight w:val="249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63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280ABC" w:rsidRPr="00280ABC" w:rsidRDefault="00280ABC" w:rsidP="00280ABC">
            <w:pPr>
              <w:widowControl/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CAACGGACAGATCTGCAAT</w:t>
            </w:r>
          </w:p>
        </w:tc>
      </w:tr>
    </w:tbl>
    <w:p w:rsidR="00280ABC" w:rsidRPr="00280ABC" w:rsidRDefault="00280ABC" w:rsidP="00280ABC">
      <w:pPr>
        <w:widowControl/>
        <w:adjustRightInd w:val="0"/>
        <w:snapToGrid w:val="0"/>
        <w:spacing w:line="186" w:lineRule="exact"/>
        <w:ind w:firstLineChars="68" w:firstLine="150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186" w:lineRule="exact"/>
        <w:ind w:firstLineChars="68" w:firstLine="150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186" w:lineRule="exact"/>
        <w:ind w:firstLineChars="68" w:firstLine="150"/>
        <w:rPr>
          <w:rFonts w:ascii="Times New Roman" w:eastAsia="MS Mincho" w:hAnsi="Times New Roman" w:cs="Times New Roman"/>
          <w:kern w:val="0"/>
          <w:sz w:val="22"/>
          <w:lang w:eastAsia="en-US"/>
        </w:rPr>
        <w:sectPr w:rsidR="00280ABC" w:rsidRPr="00280ABC" w:rsidSect="00280ABC">
          <w:headerReference w:type="default" r:id="rId21"/>
          <w:footerReference w:type="default" r:id="rId22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480" w:lineRule="auto"/>
        <w:ind w:firstLineChars="150" w:firstLine="330"/>
        <w:rPr>
          <w:rFonts w:ascii="Times New Roman" w:eastAsia="MS Mincho" w:hAnsi="Times New Roman" w:cs="Times New Roman"/>
          <w:kern w:val="0"/>
          <w:sz w:val="22"/>
          <w:lang w:eastAsia="en-US"/>
        </w:rPr>
        <w:sectPr w:rsidR="00280ABC" w:rsidRPr="00280ABC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480" w:lineRule="auto"/>
        <w:ind w:firstLineChars="68" w:firstLine="150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lastRenderedPageBreak/>
        <w:t>Table S2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RT-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qPCR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primers for selected genes</w:t>
      </w:r>
    </w:p>
    <w:tbl>
      <w:tblPr>
        <w:tblW w:w="9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926"/>
      </w:tblGrid>
      <w:tr w:rsidR="00280ABC" w:rsidRPr="00280ABC" w:rsidTr="00D62A06">
        <w:trPr>
          <w:trHeight w:val="362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Name</w:t>
            </w:r>
          </w:p>
        </w:tc>
        <w:tc>
          <w:tcPr>
            <w:tcW w:w="69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Sequence (5′→3′)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EHD4 F</w:t>
            </w:r>
          </w:p>
        </w:tc>
        <w:tc>
          <w:tcPr>
            <w:tcW w:w="692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ATGGCAAGATATCAGGTGTCAA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EHD4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CTTGATCTTGATGAGGTGCTTG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HSPA4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GATATTGTGCAGTTGCCTACAG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HSPA4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GGCTTCTTAAGAACACTTTCGG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CCT4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GTAACAGAACTAAGAAACCGGC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CCT4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GTTTCAGTTGCAAGAGTCAGAG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ABCB1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TCTATGGTTGGCAACTAACACT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ABCB1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CTCCTGAGTCAAAGAAACAACG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TXNDC5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CTTTATCAAGTTCTTCGCTCCG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TXNDC5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AATCAACCTTGCCAATCTTGAC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EIF4E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AGGATGGTATTGAGCCTATGTG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EIF4E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GTCTCTGCTGTTTGTTCAATGT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SDC4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CTTGGTGCCTCTAGATAACCAT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SDC4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GACACATCCTCACTCTCTTCAA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SHMT1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CAGGAAAGGAGTGAAAAGTGTG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SHMT1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AGGGAACACAGCAGAATTGATA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ITGAV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ACAGGCAATAGAGATTATGCCA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ITGAV R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TTTATCCTGTTTCGACCTCACA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ITGB1 F</w:t>
            </w:r>
          </w:p>
        </w:tc>
        <w:tc>
          <w:tcPr>
            <w:tcW w:w="69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GGGCGACGAAGTGCTACGAAAG</w:t>
            </w:r>
          </w:p>
        </w:tc>
      </w:tr>
      <w:tr w:rsidR="00280ABC" w:rsidRPr="00280ABC" w:rsidTr="00D62A06">
        <w:trPr>
          <w:trHeight w:val="362"/>
        </w:trPr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ITGB1 R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70" w:type="dxa"/>
              <w:bottom w:w="0" w:type="dxa"/>
              <w:right w:w="170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TACCCAAGAACTGCTATGCCAAACC</w:t>
            </w:r>
          </w:p>
        </w:tc>
      </w:tr>
    </w:tbl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  <w:sectPr w:rsidR="00280ABC" w:rsidRPr="00280ABC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480" w:lineRule="auto"/>
        <w:ind w:firstLineChars="68" w:firstLine="150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lastRenderedPageBreak/>
        <w:t>Table S3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sgRNA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sequences for CRISPR-Cas9-mediated knockout of EHD4</w:t>
      </w:r>
    </w:p>
    <w:tbl>
      <w:tblPr>
        <w:tblW w:w="9619" w:type="dxa"/>
        <w:tblInd w:w="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1"/>
        <w:gridCol w:w="7478"/>
      </w:tblGrid>
      <w:tr w:rsidR="00280ABC" w:rsidRPr="00280ABC" w:rsidTr="00D62A06">
        <w:trPr>
          <w:trHeight w:val="449"/>
        </w:trPr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0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Name</w:t>
            </w:r>
          </w:p>
        </w:tc>
        <w:tc>
          <w:tcPr>
            <w:tcW w:w="7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Se</w:t>
            </w:r>
            <w:bookmarkStart w:id="6" w:name="OLE_LINK217"/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quence (5′→3′)</w:t>
            </w:r>
            <w:bookmarkEnd w:id="6"/>
          </w:p>
        </w:tc>
      </w:tr>
      <w:tr w:rsidR="00280ABC" w:rsidRPr="00280ABC" w:rsidTr="00D62A06">
        <w:trPr>
          <w:trHeight w:val="449"/>
        </w:trPr>
        <w:tc>
          <w:tcPr>
            <w:tcW w:w="2141" w:type="dxa"/>
            <w:tcBorders>
              <w:top w:val="single" w:sz="4" w:space="0" w:color="auto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-108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bookmarkStart w:id="7" w:name="OLE_LINK189"/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sgEHD4-1</w:t>
            </w:r>
            <w:bookmarkEnd w:id="7"/>
          </w:p>
        </w:tc>
        <w:tc>
          <w:tcPr>
            <w:tcW w:w="747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ACGACCTCATCAAGCGAGCG</w:t>
            </w:r>
          </w:p>
        </w:tc>
      </w:tr>
      <w:tr w:rsidR="00280ABC" w:rsidRPr="00280ABC" w:rsidTr="00D62A06">
        <w:trPr>
          <w:trHeight w:val="449"/>
        </w:trPr>
        <w:tc>
          <w:tcPr>
            <w:tcW w:w="2141" w:type="dxa"/>
            <w:tcBorders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-108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sgEHD4-2</w:t>
            </w:r>
          </w:p>
        </w:tc>
        <w:tc>
          <w:tcPr>
            <w:tcW w:w="7478" w:type="dxa"/>
            <w:tcBorders>
              <w:left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CGGCCTTGTTCAGCACGACA</w:t>
            </w:r>
          </w:p>
        </w:tc>
      </w:tr>
      <w:tr w:rsidR="00280ABC" w:rsidRPr="00280ABC" w:rsidTr="00D62A06">
        <w:trPr>
          <w:trHeight w:val="449"/>
        </w:trPr>
        <w:tc>
          <w:tcPr>
            <w:tcW w:w="2141" w:type="dxa"/>
            <w:tcBorders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-108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sgEHD4-3</w:t>
            </w:r>
          </w:p>
        </w:tc>
        <w:tc>
          <w:tcPr>
            <w:tcW w:w="7478" w:type="dxa"/>
            <w:tcBorders>
              <w:left w:val="nil"/>
              <w:bottom w:val="single" w:sz="4" w:space="0" w:color="auto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TCCTTCATCGCCGTGATGTA</w:t>
            </w:r>
          </w:p>
        </w:tc>
      </w:tr>
    </w:tbl>
    <w:p w:rsidR="00280ABC" w:rsidRPr="00280ABC" w:rsidRDefault="00280ABC" w:rsidP="00280ABC">
      <w:pPr>
        <w:widowControl/>
        <w:adjustRightInd w:val="0"/>
        <w:snapToGrid w:val="0"/>
        <w:spacing w:line="480" w:lineRule="auto"/>
        <w:ind w:firstLineChars="150" w:firstLine="330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48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48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adjustRightInd w:val="0"/>
        <w:snapToGrid w:val="0"/>
        <w:spacing w:line="48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rPr>
          <w:rFonts w:ascii="Times New Roman" w:eastAsia="MS Mincho" w:hAnsi="Times New Roman" w:cs="Times New Roman"/>
          <w:kern w:val="0"/>
          <w:sz w:val="22"/>
          <w:lang w:eastAsia="en-US"/>
        </w:rPr>
        <w:sectPr w:rsidR="00280ABC" w:rsidRPr="00280ABC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lastRenderedPageBreak/>
        <w:t>Table S4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The sequence of the human EHD4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cDNA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insert cloned into the pcDNA3.1 vector</w:t>
      </w: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rPr>
          <w:rFonts w:ascii="Times New Roman" w:eastAsia="MS Mincho" w:hAnsi="Times New Roman" w:cs="Times New Roman"/>
          <w:b/>
          <w:kern w:val="0"/>
          <w:sz w:val="22"/>
          <w:lang w:eastAsia="en-US"/>
        </w:rPr>
      </w:pP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329"/>
      </w:tblGrid>
      <w:tr w:rsidR="00280ABC" w:rsidRPr="00280ABC" w:rsidTr="00D62A06">
        <w:trPr>
          <w:trHeight w:val="495"/>
        </w:trPr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rPr>
                <w:rFonts w:eastAsia="MS Mincho"/>
                <w:b/>
                <w:sz w:val="22"/>
                <w:lang w:eastAsia="en-US"/>
              </w:rPr>
            </w:pPr>
            <w:r w:rsidRPr="00280ABC">
              <w:rPr>
                <w:rFonts w:eastAsia="MS Mincho"/>
                <w:b/>
                <w:sz w:val="22"/>
                <w:lang w:eastAsia="en-US"/>
              </w:rPr>
              <w:t>Name</w:t>
            </w:r>
          </w:p>
        </w:tc>
        <w:tc>
          <w:tcPr>
            <w:tcW w:w="4273" w:type="pct"/>
            <w:tcBorders>
              <w:top w:val="single" w:sz="4" w:space="0" w:color="auto"/>
              <w:bottom w:val="single" w:sz="4" w:space="0" w:color="auto"/>
            </w:tcBorders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rPr>
                <w:rFonts w:eastAsia="MS Mincho"/>
                <w:b/>
                <w:sz w:val="22"/>
                <w:lang w:eastAsia="en-US"/>
              </w:rPr>
            </w:pPr>
            <w:r w:rsidRPr="00280ABC">
              <w:rPr>
                <w:rFonts w:eastAsia="MS Mincho"/>
                <w:b/>
                <w:sz w:val="22"/>
                <w:lang w:eastAsia="en-US"/>
              </w:rPr>
              <w:t>Sequence (5</w:t>
            </w:r>
            <w:bookmarkStart w:id="8" w:name="OLE_LINK89"/>
            <w:bookmarkStart w:id="9" w:name="OLE_LINK86"/>
            <w:r w:rsidRPr="00280ABC">
              <w:rPr>
                <w:b/>
                <w:sz w:val="22"/>
                <w:lang w:eastAsia="en-US"/>
              </w:rPr>
              <w:t>′</w:t>
            </w:r>
            <w:bookmarkEnd w:id="8"/>
            <w:bookmarkEnd w:id="9"/>
            <w:r w:rsidRPr="00280ABC">
              <w:rPr>
                <w:rFonts w:eastAsia="MS Mincho"/>
                <w:b/>
                <w:bCs/>
                <w:sz w:val="22"/>
                <w:lang w:eastAsia="en-US"/>
              </w:rPr>
              <w:t>→</w:t>
            </w:r>
            <w:r w:rsidRPr="00280ABC">
              <w:rPr>
                <w:rFonts w:eastAsia="MS Mincho"/>
                <w:b/>
                <w:sz w:val="22"/>
                <w:lang w:eastAsia="en-US"/>
              </w:rPr>
              <w:t>3</w:t>
            </w:r>
            <w:r w:rsidRPr="00280ABC">
              <w:rPr>
                <w:b/>
                <w:sz w:val="22"/>
                <w:lang w:eastAsia="en-US"/>
              </w:rPr>
              <w:t>′</w:t>
            </w:r>
            <w:r w:rsidRPr="00280ABC">
              <w:rPr>
                <w:rFonts w:eastAsia="MS Mincho"/>
                <w:b/>
                <w:sz w:val="22"/>
                <w:lang w:eastAsia="en-US"/>
              </w:rPr>
              <w:t>)</w:t>
            </w:r>
          </w:p>
        </w:tc>
      </w:tr>
      <w:tr w:rsidR="00280ABC" w:rsidRPr="00280ABC" w:rsidTr="00D62A06">
        <w:trPr>
          <w:trHeight w:val="5311"/>
        </w:trPr>
        <w:tc>
          <w:tcPr>
            <w:tcW w:w="727" w:type="pct"/>
            <w:tcBorders>
              <w:top w:val="single" w:sz="4" w:space="0" w:color="auto"/>
            </w:tcBorders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rPr>
                <w:rFonts w:eastAsia="MS Mincho"/>
                <w:sz w:val="22"/>
                <w:lang w:eastAsia="en-US"/>
              </w:rPr>
            </w:pPr>
            <w:r w:rsidRPr="00280ABC">
              <w:rPr>
                <w:rFonts w:eastAsia="MS Mincho"/>
                <w:sz w:val="22"/>
                <w:lang w:eastAsia="en-US"/>
              </w:rPr>
              <w:t xml:space="preserve">Human EHD4 </w:t>
            </w:r>
            <w:proofErr w:type="spellStart"/>
            <w:r w:rsidRPr="00280ABC">
              <w:rPr>
                <w:rFonts w:eastAsia="MS Mincho"/>
                <w:sz w:val="22"/>
                <w:lang w:eastAsia="en-US"/>
              </w:rPr>
              <w:t>cDNA</w:t>
            </w:r>
            <w:proofErr w:type="spellEnd"/>
          </w:p>
        </w:tc>
        <w:tc>
          <w:tcPr>
            <w:tcW w:w="4273" w:type="pct"/>
            <w:tcBorders>
              <w:top w:val="single" w:sz="4" w:space="0" w:color="auto"/>
            </w:tcBorders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rPr>
                <w:rFonts w:eastAsia="MS Mincho"/>
                <w:sz w:val="22"/>
                <w:lang w:eastAsia="en-US"/>
              </w:rPr>
            </w:pPr>
            <w:r w:rsidRPr="00280ABC">
              <w:rPr>
                <w:rFonts w:eastAsia="MS Mincho"/>
                <w:sz w:val="22"/>
                <w:lang w:eastAsia="en-US"/>
              </w:rPr>
              <w:t>atgttcagctggatggggcggcaggcgggcgggcgcgaacgcgctggcggcgcggacgcggtgcagacggtgacgggcgggctgcgctcgctctacctgcgcaaggtgctgccgctggaggaggcgtaccgcttccacgagttccactcgcctgcgctggaggacgccgacttcgagaacaagcccatgatcctgctggtgggccagtacagcaccggcaagaccaccttcatcagatacctactggagcaggatttcccaggcatgaggattggtccggagcccaccacagactccttcatcgccgtgatgtatggagagactgagggcagcaccccagggaatgctttagtcgtggaccccaaaaagccgtttagaaagctcagtcgctttggaaacgctttcctgaatcgattcatgtgctcacagctccccaatcaggtcctgaagagcatcagcgtcatcgacagccccggcatcctttctggggagaagcagcgcatcagccgaggctatgacttctgccaggtcctgcagtggtttgccgagagggtggacaggatcatcctgctctttgacgctcacaagctggacatctcagatgaattctcagaggccatcaaggccttccggggccaggacgacaagatccgtgtcgtgctgaacaaggccgaccaagtggacacgcagcagctgatgcgggtctacggggccctcatgtggtccctaggcaaggtcatcaacacgcccgaggtactgcgcgtctacattggctccttctgggcgcagcccctgcagaacacggacaaccgccggctcttcgaggctgaggcccaggacctcttcagagacatccagagcctcccccagaaggcagcggtgcgcaagctcaacgacctcatcaagcgagcgaggctggccaaggtgcatgcctacatcatcagctacctgaagaaggagatgccaagtgtatttggaaaggaaaacaagaagagagagcttatcagcaggctaccggaaatctacattcagctacagcgagaataccagatttctgcaggggacttccctgaggtcaaggctatgcaggaacagcttgagaactatgacttcaccaaattccactcgctgaagcccaagctgatcgaggcagtggacaacatgctgagcaacaagatctcgcccctcatgaacctcatcagccaggaggagacgagcacgcccacgcagctggtgcagggcggcgccttcgatggcaccaccgagggccccttcaaccagggctacggggagggtgccaaggagggcgccgacgaggaggagtgggtcgtggccaaagacaagcccgtctacgacgagctcttctacactctgtcgcccatcaatggcaagatatcaggtgtcaacgccaagaaggagatggtgacctccaagctgcccaacagcgtcctgggcaagatctggaagctggccgactgcgactgcgacggcatgcttgatgaggaggagttcgcgctggccaagcacctcatcaagatcaagctcgacggctacgagctgcccagcagcctgcccccccacctcgtgcccccctcgcacaggaagtccctgcccaaggccgac</w:t>
            </w:r>
          </w:p>
        </w:tc>
      </w:tr>
    </w:tbl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adjustRightInd w:val="0"/>
        <w:snapToGrid w:val="0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br w:type="page"/>
      </w: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lastRenderedPageBreak/>
        <w:t>Table S5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Primer and probe sequences used for viral RNA quantification and gene expression analysis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1524"/>
        <w:gridCol w:w="1938"/>
        <w:gridCol w:w="5066"/>
      </w:tblGrid>
      <w:tr w:rsidR="00280ABC" w:rsidRPr="00280ABC" w:rsidTr="00D62A06">
        <w:trPr>
          <w:trHeight w:val="636"/>
        </w:trPr>
        <w:tc>
          <w:tcPr>
            <w:tcW w:w="62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Target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Name</w:t>
            </w:r>
          </w:p>
        </w:tc>
        <w:tc>
          <w:tcPr>
            <w:tcW w:w="99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Type</w:t>
            </w:r>
          </w:p>
        </w:tc>
        <w:tc>
          <w:tcPr>
            <w:tcW w:w="260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Sequence (5′→3′)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ZIKV</w:t>
            </w:r>
          </w:p>
        </w:tc>
        <w:tc>
          <w:tcPr>
            <w:tcW w:w="782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205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ZIKV-ASF</w:t>
            </w:r>
          </w:p>
        </w:tc>
        <w:tc>
          <w:tcPr>
            <w:tcW w:w="994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Forward primer</w:t>
            </w:r>
          </w:p>
        </w:tc>
        <w:tc>
          <w:tcPr>
            <w:tcW w:w="2600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GGTCAGCGTCCTCTCTAATAAACG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ZIKV-ASR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Reverse primer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GCACCCTAGTGTCCACTTTTTCC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ZIKV-Probe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Probe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FAM-AGCCATGACCGACACCACACCGT-BQ1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JEV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JEV-ASF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Forward primer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TACCAGCTCTGACACTCACG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JEV-ASR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Reverse primer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GTATGCCTCGGTGTTCAACC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JEV-Probe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Probe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FAM-ACCGCCCAGCCTGTGATGCTCC-BQ1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DENV-2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DENV-ASF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Forward primer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TGGACCGACAAAGACAGATTCTT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DENV-ASR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Reverse primer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CGTCCTTGCAGCATTCCAA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DENV-Probe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Probe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FAM-CGCGAGAGAAACCGCGTGTCGACTGT-BQ1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EHD4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EHD4-F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Forward primer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ATGGCAAGATATCAGGTGTCAA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EHD4-R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Reverse primer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CTTGATCTTGATGAGGTGCTTG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β-actin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β-actin-277F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Forward primer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CCAACCGCGAGAAGATGA</w:t>
            </w:r>
          </w:p>
        </w:tc>
      </w:tr>
      <w:tr w:rsidR="00280ABC" w:rsidRPr="00280ABC" w:rsidTr="00D62A06">
        <w:trPr>
          <w:trHeight w:val="286"/>
        </w:trPr>
        <w:tc>
          <w:tcPr>
            <w:tcW w:w="62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β-actin-397R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Reverse primer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spacing w:line="360" w:lineRule="auto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TCCATCACGATGCCAGTG</w:t>
            </w:r>
          </w:p>
        </w:tc>
      </w:tr>
    </w:tbl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360" w:lineRule="auto"/>
        <w:ind w:firstLineChars="150" w:firstLine="330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360" w:lineRule="auto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Abbreviations: ZIKV, </w:t>
      </w:r>
      <w:proofErr w:type="spellStart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>Zika</w:t>
      </w:r>
      <w:proofErr w:type="spellEnd"/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virus; JEV, Japanese encephalitis virus; DENV, dengue virus; EHD4, Eps15 homology domain-containing protein 4; FAM, 6-carboxyfluorescein; BQ1, Black Hole Quencher 1.</w:t>
      </w:r>
    </w:p>
    <w:p w:rsidR="00280ABC" w:rsidRPr="00280ABC" w:rsidRDefault="00280ABC" w:rsidP="00280ABC">
      <w:pPr>
        <w:widowControl/>
        <w:adjustRightInd w:val="0"/>
        <w:snapToGrid w:val="0"/>
        <w:spacing w:line="360" w:lineRule="auto"/>
        <w:ind w:firstLineChars="150" w:firstLine="330"/>
        <w:rPr>
          <w:rFonts w:ascii="Times New Roman" w:eastAsia="MS Mincho" w:hAnsi="Times New Roman" w:cs="Times New Roman"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br w:type="page"/>
      </w:r>
    </w:p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360" w:lineRule="auto"/>
        <w:rPr>
          <w:rFonts w:ascii="Times New Roman" w:eastAsia="MS Mincho" w:hAnsi="Times New Roman" w:cs="Times New Roman"/>
          <w:b/>
          <w:kern w:val="0"/>
          <w:sz w:val="22"/>
          <w:lang w:eastAsia="en-US"/>
        </w:rPr>
      </w:pPr>
      <w:r w:rsidRPr="00280ABC">
        <w:rPr>
          <w:rFonts w:ascii="Times New Roman" w:eastAsia="MS Mincho" w:hAnsi="Times New Roman" w:cs="Times New Roman"/>
          <w:b/>
          <w:kern w:val="0"/>
          <w:sz w:val="22"/>
          <w:lang w:eastAsia="en-US"/>
        </w:rPr>
        <w:lastRenderedPageBreak/>
        <w:t>Table S6</w:t>
      </w:r>
      <w:r w:rsidRPr="00280ABC">
        <w:rPr>
          <w:rFonts w:ascii="Times New Roman" w:eastAsia="MS Mincho" w:hAnsi="Times New Roman" w:cs="Times New Roman"/>
          <w:kern w:val="0"/>
          <w:sz w:val="22"/>
          <w:lang w:eastAsia="en-US"/>
        </w:rPr>
        <w:t xml:space="preserve"> Primer sequences used for amplification of full-length ZIKV coding sequence from EAV-enriched fraction</w:t>
      </w:r>
    </w:p>
    <w:tbl>
      <w:tblPr>
        <w:tblW w:w="7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960"/>
        <w:gridCol w:w="2440"/>
      </w:tblGrid>
      <w:tr w:rsidR="00280ABC" w:rsidRPr="00280ABC" w:rsidTr="00D62A06">
        <w:trPr>
          <w:trHeight w:val="266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1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Name</w:t>
            </w:r>
          </w:p>
        </w:tc>
        <w:tc>
          <w:tcPr>
            <w:tcW w:w="3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1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Sequence (</w:t>
            </w:r>
            <w:r w:rsidRPr="00280ABC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en-US"/>
              </w:rPr>
              <w:t>5′→3′</w:t>
            </w: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)</w:t>
            </w:r>
          </w:p>
        </w:tc>
        <w:tc>
          <w:tcPr>
            <w:tcW w:w="2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1"/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b/>
                <w:kern w:val="0"/>
                <w:sz w:val="22"/>
                <w:lang w:eastAsia="en-US"/>
              </w:rPr>
              <w:t>Position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F1</w:t>
            </w:r>
          </w:p>
        </w:tc>
        <w:tc>
          <w:tcPr>
            <w:tcW w:w="39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AGTTGTTGATCTGTGTGA</w:t>
            </w:r>
          </w:p>
        </w:tc>
        <w:tc>
          <w:tcPr>
            <w:tcW w:w="244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  1 – 18</w:t>
            </w:r>
          </w:p>
        </w:tc>
      </w:tr>
      <w:tr w:rsidR="00280ABC" w:rsidRPr="00280ABC" w:rsidTr="00D62A06">
        <w:trPr>
          <w:trHeight w:val="171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CTAGAATCGCCAAGACCATCC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241 – 261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AAGGTGAAGCACGGAGAT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727 – 744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CCATGTTGCTGACTGTTGTTG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1117 – 1137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GCTGGTTACAACAACAGTCA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1109 – 1128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CTCTCACAGTGGCTTCAAAT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2207 – 2226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F4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AGCATTTGAAGCCACTGTG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2204 – 2222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R4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GCTGGATCACACTCTAATG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3016 – 3034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F5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TGCCCACTCAAACATAGAG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2916 – 2934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R5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CATCTCCTCCAGTGTTCATT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3746 – 3765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F6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GATCATCATAAGCACATC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3638 – 3655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R6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TCCTGAGACCACGTAACTGAC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4341 – 4361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F7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GTCAGTTACGTGGTCTCAGG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4341 – 4360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R7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TGGACCACAGTATGACAC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4842 – 4859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F8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GTGATAGGACTCTATGGTAATGG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5049 – 5071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R8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CTCGCCATCAAGTATGACC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5909 – 5927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F9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TTTGAGACAGAGTTCCAG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5784 – 5801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R9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CCAACCATCCGAGTTCAT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6916 – 6933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F10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CCATTGACAACCTCGCTGTG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6878 – 6897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R10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CTATGAGTAGCACCTGTCC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7425 – 7443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F11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GTGCTGCCCAGAAGAGAAC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7321 – 7330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R11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AGTCCTCCCCCATACCTAC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8266 – 8284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F12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GTCTTTCATATGGCGGCTGAG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8601 – 8081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R12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CTCTCTTTCCTTGTCCACT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8972 – 8990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F13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CACAAACGGCCACGAGTCTGT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8832 – 8852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R13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TTGTGTGTCCTTCCTAACT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9731 – 9749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F14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TGCGGAGGTCAGAGAAAGTG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9583 – 9602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R14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CCTATGAGAGACCCACAC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 xml:space="preserve">10167 – 10185 </w:t>
            </w:r>
          </w:p>
        </w:tc>
      </w:tr>
      <w:tr w:rsidR="00280ABC" w:rsidRPr="00280ABC" w:rsidTr="00D62A06">
        <w:trPr>
          <w:trHeight w:val="26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F15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GTGTGGGTCTCTCATAGG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9665 – 9689</w:t>
            </w:r>
          </w:p>
        </w:tc>
      </w:tr>
      <w:tr w:rsidR="00280ABC" w:rsidRPr="00280ABC" w:rsidTr="00D62A06">
        <w:trPr>
          <w:trHeight w:val="41"/>
        </w:trPr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R15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TAGCACTCCAGGTGTGGACCCTT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bottom"/>
          </w:tcPr>
          <w:p w:rsidR="00280ABC" w:rsidRPr="00280ABC" w:rsidRDefault="00280ABC" w:rsidP="00280ABC">
            <w:pPr>
              <w:widowControl/>
              <w:tabs>
                <w:tab w:val="left" w:pos="1092"/>
              </w:tabs>
              <w:adjustRightInd w:val="0"/>
              <w:snapToGrid w:val="0"/>
              <w:ind w:firstLineChars="150" w:firstLine="330"/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</w:pPr>
            <w:r w:rsidRPr="00280ABC">
              <w:rPr>
                <w:rFonts w:ascii="Times New Roman" w:eastAsia="MS Mincho" w:hAnsi="Times New Roman" w:cs="Times New Roman"/>
                <w:kern w:val="0"/>
                <w:sz w:val="22"/>
                <w:lang w:eastAsia="en-US"/>
              </w:rPr>
              <w:t>10305 – 10326</w:t>
            </w:r>
          </w:p>
        </w:tc>
      </w:tr>
    </w:tbl>
    <w:p w:rsidR="00280ABC" w:rsidRPr="00280ABC" w:rsidRDefault="00280ABC" w:rsidP="00280ABC">
      <w:pPr>
        <w:widowControl/>
        <w:tabs>
          <w:tab w:val="left" w:pos="1092"/>
        </w:tabs>
        <w:adjustRightInd w:val="0"/>
        <w:snapToGrid w:val="0"/>
        <w:spacing w:line="480" w:lineRule="auto"/>
        <w:ind w:firstLineChars="150" w:firstLine="330"/>
        <w:rPr>
          <w:rFonts w:ascii="Times New Roman" w:eastAsia="MS Mincho" w:hAnsi="Times New Roman" w:cs="Times New Roman"/>
          <w:kern w:val="0"/>
          <w:sz w:val="22"/>
          <w:lang w:eastAsia="en-US"/>
        </w:rPr>
      </w:pPr>
    </w:p>
    <w:p w:rsidR="00280ABC" w:rsidRPr="00280ABC" w:rsidRDefault="00280ABC" w:rsidP="00280ABC">
      <w:pPr>
        <w:adjustRightInd w:val="0"/>
        <w:snapToGrid w:val="0"/>
        <w:rPr>
          <w:rFonts w:ascii="Times New Roman" w:hAnsi="Times New Roman" w:cs="Times New Roman"/>
          <w:b/>
          <w:sz w:val="36"/>
        </w:rPr>
      </w:pPr>
    </w:p>
    <w:sectPr w:rsidR="00280ABC" w:rsidRPr="00280ABC" w:rsidSect="00280AB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1E3" w:rsidRDefault="00C651E3" w:rsidP="00280ABC">
      <w:r>
        <w:separator/>
      </w:r>
    </w:p>
  </w:endnote>
  <w:endnote w:type="continuationSeparator" w:id="0">
    <w:p w:rsidR="00C651E3" w:rsidRDefault="00C651E3" w:rsidP="0028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BC" w:rsidRDefault="00280ABC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7963373"/>
    </w:sdtPr>
    <w:sdtEndPr/>
    <w:sdtContent>
      <w:p w:rsidR="00280ABC" w:rsidRDefault="00280ABC">
        <w:pPr>
          <w:pStyle w:val="a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195" w:rsidRPr="00FF6195">
          <w:rPr>
            <w:noProof/>
            <w:lang w:val="zh-CN"/>
          </w:rPr>
          <w:t>1</w:t>
        </w:r>
        <w:r>
          <w:fldChar w:fldCharType="end"/>
        </w:r>
      </w:p>
    </w:sdtContent>
  </w:sdt>
  <w:p w:rsidR="00280ABC" w:rsidRDefault="00280ABC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BC" w:rsidRDefault="00280ABC">
    <w:pPr>
      <w:pStyle w:val="a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8401298"/>
    </w:sdtPr>
    <w:sdtEndPr/>
    <w:sdtContent>
      <w:p w:rsidR="00280ABC" w:rsidRDefault="00280ABC">
        <w:pPr>
          <w:pStyle w:val="a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195" w:rsidRPr="00FF6195">
          <w:rPr>
            <w:noProof/>
            <w:lang w:val="zh-CN"/>
          </w:rPr>
          <w:t>7</w:t>
        </w:r>
        <w:r>
          <w:fldChar w:fldCharType="end"/>
        </w:r>
      </w:p>
    </w:sdtContent>
  </w:sdt>
  <w:p w:rsidR="00280ABC" w:rsidRDefault="00280ABC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1E3" w:rsidRDefault="00C651E3" w:rsidP="00280ABC">
      <w:r>
        <w:separator/>
      </w:r>
    </w:p>
  </w:footnote>
  <w:footnote w:type="continuationSeparator" w:id="0">
    <w:p w:rsidR="00C651E3" w:rsidRDefault="00C651E3" w:rsidP="00280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BC" w:rsidRDefault="00280ABC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BC" w:rsidRDefault="00280ABC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BC" w:rsidRDefault="00280ABC">
    <w:pPr>
      <w:pStyle w:val="a3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BC" w:rsidRDefault="00280ABC">
    <w:pPr>
      <w:pStyle w:val="a6"/>
      <w:spacing w:line="14" w:lineRule="auto"/>
      <w:ind w:firstLine="30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4BF"/>
    <w:rsid w:val="000A6F88"/>
    <w:rsid w:val="00280ABC"/>
    <w:rsid w:val="002C0EAF"/>
    <w:rsid w:val="003B2280"/>
    <w:rsid w:val="009C0E5B"/>
    <w:rsid w:val="009D54B0"/>
    <w:rsid w:val="00A704BF"/>
    <w:rsid w:val="00C651E3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723A1C-1B6E-4022-B687-D75695C4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0A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0A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0A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0ABC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280ABC"/>
  </w:style>
  <w:style w:type="paragraph" w:styleId="a6">
    <w:name w:val="Body Text"/>
    <w:basedOn w:val="a"/>
    <w:link w:val="Char1"/>
    <w:uiPriority w:val="99"/>
    <w:unhideWhenUsed/>
    <w:qFormat/>
    <w:rsid w:val="00280ABC"/>
    <w:pPr>
      <w:widowControl/>
      <w:spacing w:after="120" w:line="480" w:lineRule="auto"/>
      <w:ind w:firstLineChars="150" w:firstLine="150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6"/>
    <w:uiPriority w:val="99"/>
    <w:qFormat/>
    <w:rsid w:val="00280ABC"/>
    <w:rPr>
      <w:rFonts w:ascii="Times New Roman" w:hAnsi="Times New Roman" w:cs="Times New Roman"/>
      <w:kern w:val="0"/>
      <w:sz w:val="24"/>
      <w:szCs w:val="24"/>
      <w:lang w:eastAsia="en-US"/>
    </w:rPr>
  </w:style>
  <w:style w:type="table" w:styleId="a7">
    <w:name w:val="Table Grid"/>
    <w:basedOn w:val="a1"/>
    <w:uiPriority w:val="59"/>
    <w:qFormat/>
    <w:rsid w:val="00280AB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header" Target="header4.xml"/><Relationship Id="rId7" Type="http://schemas.openxmlformats.org/officeDocument/2006/relationships/header" Target="header2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image" Target="media/image8.jpe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jpeg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2065</Words>
  <Characters>11776</Characters>
  <Application>Microsoft Office Word</Application>
  <DocSecurity>0</DocSecurity>
  <Lines>98</Lines>
  <Paragraphs>27</Paragraphs>
  <ScaleCrop>false</ScaleCrop>
  <Company/>
  <LinksUpToDate>false</LinksUpToDate>
  <CharactersWithSpaces>13814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2026-09-14T08:52:00Z</dcterms:created>
  <dcterms:modified xsi:type="dcterms:W3CDTF">2026-09-15T01:41:00Z</dcterms:modified>
</cp:coreProperties>
</file>