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3D1" w:rsidRDefault="00F323D1" w:rsidP="00F323D1">
      <w:pPr>
        <w:pStyle w:val="paragraph"/>
        <w:tabs>
          <w:tab w:val="left" w:pos="5873"/>
        </w:tabs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="黑体" w:hAnsi="Times New Roman"/>
          <w:b/>
          <w:bCs/>
          <w:i/>
          <w:sz w:val="32"/>
          <w:szCs w:val="22"/>
        </w:rPr>
      </w:pPr>
      <w:r>
        <w:rPr>
          <w:rFonts w:ascii="Times New Roman" w:eastAsia="黑体" w:hAnsi="Times New Roman"/>
          <w:b/>
          <w:bCs/>
          <w:i/>
          <w:sz w:val="32"/>
          <w:szCs w:val="22"/>
        </w:rPr>
        <w:t>Virologica Sinica</w:t>
      </w:r>
    </w:p>
    <w:p w:rsidR="00F323D1" w:rsidRDefault="00F323D1" w:rsidP="00F323D1">
      <w:pPr>
        <w:pStyle w:val="paragraph"/>
        <w:tabs>
          <w:tab w:val="left" w:pos="5873"/>
        </w:tabs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="黑体" w:hAnsi="Times New Roman"/>
          <w:b/>
          <w:bCs/>
          <w:sz w:val="28"/>
          <w:szCs w:val="22"/>
        </w:rPr>
      </w:pPr>
      <w:r>
        <w:rPr>
          <w:rFonts w:ascii="Times New Roman" w:eastAsia="黑体" w:hAnsi="Times New Roman"/>
          <w:b/>
          <w:bCs/>
          <w:sz w:val="28"/>
          <w:szCs w:val="22"/>
        </w:rPr>
        <w:t>Supplementary Materials</w:t>
      </w:r>
    </w:p>
    <w:p w:rsidR="0073366C" w:rsidRDefault="0073366C"/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b/>
          <w:bCs/>
          <w:color w:val="000000"/>
          <w:sz w:val="28"/>
          <w:szCs w:val="28"/>
          <w14:ligatures w14:val="standardContextual"/>
        </w:rPr>
      </w:pP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b/>
          <w:bCs/>
          <w:color w:val="000000"/>
          <w:sz w:val="28"/>
          <w:szCs w:val="28"/>
          <w14:ligatures w14:val="standardContextual"/>
        </w:rPr>
      </w:pPr>
      <w:r w:rsidRPr="00F323D1">
        <w:rPr>
          <w:rFonts w:ascii="Times New Roman" w:eastAsia="黑体" w:hAnsi="Times New Roman" w:cs="Times New Roman"/>
          <w:b/>
          <w:bCs/>
          <w:color w:val="000000"/>
          <w:sz w:val="28"/>
          <w:szCs w:val="28"/>
          <w14:ligatures w14:val="standardContextual"/>
        </w:rPr>
        <w:t>MMF inhibits poxvirus infection by disrupting IMPDH2 interaction with USP5 and inducing its Rod-and-Ring assemblies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Qian Sun</w:t>
      </w:r>
      <w:r w:rsidRPr="00F323D1">
        <w:rPr>
          <w:rFonts w:ascii="Times New Roman" w:eastAsia="黑体" w:hAnsi="Times New Roman" w:cs="Times New Roman" w:hint="eastAsia"/>
          <w:sz w:val="24"/>
          <w:szCs w:val="24"/>
          <w:vertAlign w:val="superscript"/>
          <w14:ligatures w14:val="standardContextual"/>
        </w:rPr>
        <w:t>a</w:t>
      </w:r>
      <w:r w:rsidRPr="00F323D1">
        <w:rPr>
          <w:rFonts w:ascii="Times New Roman" w:eastAsia="黑体" w:hAnsi="Times New Roman" w:cs="Times New Roman"/>
          <w:sz w:val="24"/>
          <w:szCs w:val="24"/>
          <w:vertAlign w:val="superscript"/>
          <w14:ligatures w14:val="standardContextual"/>
        </w:rPr>
        <w:t>, #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, Kesen Liu</w:t>
      </w:r>
      <w:r w:rsidRPr="00F323D1">
        <w:rPr>
          <w:rFonts w:ascii="Times New Roman" w:eastAsia="黑体" w:hAnsi="Times New Roman" w:cs="Times New Roman" w:hint="eastAsia"/>
          <w:sz w:val="24"/>
          <w:szCs w:val="24"/>
          <w:vertAlign w:val="superscript"/>
          <w14:ligatures w14:val="standardContextual"/>
        </w:rPr>
        <w:t>b</w:t>
      </w:r>
      <w:r w:rsidRPr="00F323D1">
        <w:rPr>
          <w:rFonts w:ascii="Times New Roman" w:eastAsia="黑体" w:hAnsi="Times New Roman" w:cs="Times New Roman"/>
          <w:sz w:val="24"/>
          <w:szCs w:val="24"/>
          <w:vertAlign w:val="superscript"/>
          <w14:ligatures w14:val="standardContextual"/>
        </w:rPr>
        <w:t>, #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, Wandi Cao</w:t>
      </w:r>
      <w:r w:rsidRPr="00F323D1">
        <w:rPr>
          <w:rFonts w:ascii="Times New Roman" w:eastAsia="黑体" w:hAnsi="Times New Roman" w:cs="Times New Roman" w:hint="eastAsia"/>
          <w:sz w:val="24"/>
          <w:szCs w:val="24"/>
          <w:vertAlign w:val="superscript"/>
          <w14:ligatures w14:val="standardContextual"/>
        </w:rPr>
        <w:t>b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, Chengyue Wu</w:t>
      </w:r>
      <w:r w:rsidRPr="00F323D1">
        <w:rPr>
          <w:rFonts w:ascii="Times New Roman" w:eastAsia="黑体" w:hAnsi="Times New Roman" w:cs="Times New Roman" w:hint="eastAsia"/>
          <w:sz w:val="24"/>
          <w:szCs w:val="24"/>
          <w:vertAlign w:val="superscript"/>
          <w14:ligatures w14:val="standardContextual"/>
        </w:rPr>
        <w:t>b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, Hanhua Zhang</w:t>
      </w:r>
      <w:r w:rsidRPr="00F323D1">
        <w:rPr>
          <w:rFonts w:ascii="Times New Roman" w:eastAsia="黑体" w:hAnsi="Times New Roman" w:cs="Times New Roman" w:hint="eastAsia"/>
          <w:sz w:val="24"/>
          <w:szCs w:val="24"/>
          <w:vertAlign w:val="superscript"/>
          <w14:ligatures w14:val="standardContextual"/>
        </w:rPr>
        <w:t>b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, Xingya Wang</w:t>
      </w:r>
      <w:r w:rsidRPr="00F323D1">
        <w:rPr>
          <w:rFonts w:ascii="Times New Roman" w:eastAsia="黑体" w:hAnsi="Times New Roman" w:cs="Times New Roman" w:hint="eastAsia"/>
          <w:sz w:val="24"/>
          <w:szCs w:val="24"/>
          <w:vertAlign w:val="superscript"/>
          <w14:ligatures w14:val="standardContextual"/>
        </w:rPr>
        <w:t>b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, Chen Peng</w:t>
      </w:r>
      <w:r w:rsidRPr="00F323D1">
        <w:rPr>
          <w:rFonts w:ascii="Times New Roman" w:eastAsia="黑体" w:hAnsi="Times New Roman" w:cs="Times New Roman" w:hint="eastAsia"/>
          <w:sz w:val="24"/>
          <w:szCs w:val="24"/>
          <w:vertAlign w:val="superscript"/>
          <w14:ligatures w14:val="standardContextual"/>
        </w:rPr>
        <w:t>c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,</w:t>
      </w:r>
      <w:r w:rsidRPr="00F323D1">
        <w:rPr>
          <w:rFonts w:ascii="Times New Roman" w:eastAsia="黑体" w:hAnsi="Times New Roman" w:cs="Times New Roman" w:hint="eastAsia"/>
          <w:sz w:val="24"/>
          <w:szCs w:val="24"/>
          <w14:ligatures w14:val="standardContextual"/>
        </w:rPr>
        <w:t xml:space="preserve"> Jie Sun</w:t>
      </w:r>
      <w:r w:rsidRPr="00F323D1">
        <w:rPr>
          <w:rFonts w:ascii="Times New Roman" w:eastAsia="黑体" w:hAnsi="Times New Roman" w:cs="Times New Roman" w:hint="eastAsia"/>
          <w:sz w:val="24"/>
          <w:szCs w:val="24"/>
          <w:vertAlign w:val="superscript"/>
          <w14:ligatures w14:val="standardContextual"/>
        </w:rPr>
        <w:t>d</w:t>
      </w:r>
      <w:r w:rsidRPr="00F323D1">
        <w:rPr>
          <w:rFonts w:ascii="Times New Roman" w:eastAsia="黑体" w:hAnsi="Times New Roman" w:cs="Times New Roman" w:hint="eastAsia"/>
          <w:sz w:val="24"/>
          <w:szCs w:val="24"/>
          <w14:ligatures w14:val="standardContextual"/>
        </w:rPr>
        <w:t>,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 xml:space="preserve"> Anbing Zhang</w:t>
      </w:r>
      <w:r w:rsidRPr="00F323D1">
        <w:rPr>
          <w:rFonts w:ascii="Times New Roman" w:eastAsia="黑体" w:hAnsi="Times New Roman" w:cs="Times New Roman" w:hint="eastAsia"/>
          <w:sz w:val="24"/>
          <w:szCs w:val="24"/>
          <w:vertAlign w:val="superscript"/>
          <w14:ligatures w14:val="standardContextual"/>
        </w:rPr>
        <w:t>e</w:t>
      </w:r>
      <w:r w:rsidRPr="00F323D1">
        <w:rPr>
          <w:rFonts w:ascii="Times New Roman" w:eastAsia="黑体" w:hAnsi="Times New Roman" w:cs="Times New Roman"/>
          <w:sz w:val="24"/>
          <w:szCs w:val="24"/>
          <w:vertAlign w:val="superscript"/>
          <w14:ligatures w14:val="standardContextual"/>
        </w:rPr>
        <w:t>, *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, Zhuo Zhou</w:t>
      </w:r>
      <w:r w:rsidRPr="00F323D1">
        <w:rPr>
          <w:rFonts w:ascii="Times New Roman" w:eastAsia="黑体" w:hAnsi="Times New Roman" w:cs="Times New Roman" w:hint="eastAsia"/>
          <w:sz w:val="24"/>
          <w:szCs w:val="24"/>
          <w:vertAlign w:val="superscript"/>
          <w14:ligatures w14:val="standardContextual"/>
        </w:rPr>
        <w:t>f</w:t>
      </w:r>
      <w:r w:rsidRPr="00F323D1">
        <w:rPr>
          <w:rFonts w:ascii="Times New Roman" w:eastAsia="黑体" w:hAnsi="Times New Roman" w:cs="Times New Roman"/>
          <w:sz w:val="24"/>
          <w:szCs w:val="24"/>
          <w:vertAlign w:val="superscript"/>
          <w14:ligatures w14:val="standardContextual"/>
        </w:rPr>
        <w:t>, *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, Xing Liu</w:t>
      </w:r>
      <w:r w:rsidRPr="00F323D1">
        <w:rPr>
          <w:rFonts w:ascii="Times New Roman" w:eastAsia="黑体" w:hAnsi="Times New Roman" w:cs="Times New Roman" w:hint="eastAsia"/>
          <w:sz w:val="24"/>
          <w:szCs w:val="24"/>
          <w:vertAlign w:val="superscript"/>
          <w14:ligatures w14:val="standardContextual"/>
        </w:rPr>
        <w:t>b</w:t>
      </w:r>
      <w:r w:rsidRPr="00F323D1">
        <w:rPr>
          <w:rFonts w:ascii="Times New Roman" w:eastAsia="黑体" w:hAnsi="Times New Roman" w:cs="Times New Roman"/>
          <w:sz w:val="24"/>
          <w:szCs w:val="24"/>
          <w:vertAlign w:val="superscript"/>
          <w14:ligatures w14:val="standardContextual"/>
        </w:rPr>
        <w:t>, *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黑体" w:hAnsi="Times New Roman" w:cs="Times New Roman" w:hint="eastAsia"/>
          <w:sz w:val="24"/>
          <w:szCs w:val="24"/>
          <w:vertAlign w:val="superscript"/>
          <w14:ligatures w14:val="standardContextual"/>
        </w:rPr>
        <w:t xml:space="preserve">a 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School of Pharmaceutical Sciences, Shenzhen University Medical School, Shenzhen</w:t>
      </w:r>
      <w:r w:rsidRPr="00F323D1">
        <w:rPr>
          <w:rFonts w:ascii="Times New Roman" w:eastAsia="黑体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518060</w:t>
      </w:r>
      <w:r w:rsidRPr="00F323D1">
        <w:rPr>
          <w:rFonts w:ascii="等线" w:eastAsia="等线" w:hAnsi="等线" w:cs="Times New Roman" w:hint="eastAsia"/>
          <w:szCs w:val="21"/>
          <w14:ligatures w14:val="standardContextual"/>
        </w:rPr>
        <w:t xml:space="preserve"> 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China.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 w:hint="eastAsia"/>
          <w:sz w:val="24"/>
          <w:szCs w:val="24"/>
          <w:vertAlign w:val="superscript"/>
          <w14:ligatures w14:val="standardContextual"/>
        </w:rPr>
        <w:t xml:space="preserve">b 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Guangdong Provincial Key Laboratory of Infection Immunity and Inflammation,</w:t>
      </w:r>
      <w:r w:rsidRPr="00F323D1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the Belt &amp; Road Shenzhen-Almaty Joint Laboratory for Frontiers of Medical Science (B&amp;RsalFMS), 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Department of Pathogen Biology, School of Basic Medical Sciences, Shenzhen University Medical School</w:t>
      </w:r>
      <w:r w:rsidRPr="00F323D1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,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 xml:space="preserve"> Shenzhen</w:t>
      </w:r>
      <w:r w:rsidRPr="00F323D1">
        <w:rPr>
          <w:rFonts w:ascii="Times New Roman" w:eastAsia="黑体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518060</w:t>
      </w:r>
      <w:r w:rsidRPr="00F323D1">
        <w:rPr>
          <w:rFonts w:ascii="Times New Roman" w:eastAsia="黑体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F323D1">
        <w:rPr>
          <w:rFonts w:ascii="Times New Roman" w:eastAsia="黑体" w:hAnsi="Times New Roman" w:cs="Times New Roman"/>
          <w:sz w:val="24"/>
          <w:szCs w:val="24"/>
          <w14:ligatures w14:val="standardContextual"/>
        </w:rPr>
        <w:t>China.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 w:hint="eastAsia"/>
          <w:sz w:val="24"/>
          <w:szCs w:val="24"/>
          <w:vertAlign w:val="superscript"/>
          <w14:ligatures w14:val="standardContextual"/>
        </w:rPr>
        <w:t xml:space="preserve">c 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National Key Laboratory of Veterinary Public Health, College of Veterinary Medicine, China Agricultural University, Beijing</w:t>
      </w:r>
      <w:r w:rsidRPr="00F323D1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100193 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China.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 w:hint="eastAsia"/>
          <w:sz w:val="24"/>
          <w:szCs w:val="24"/>
          <w:vertAlign w:val="superscript"/>
          <w14:ligatures w14:val="standardContextual"/>
        </w:rPr>
        <w:t xml:space="preserve">d </w:t>
      </w:r>
      <w:r w:rsidRPr="00F323D1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Shenzhen Customs Animal and Plant Inspection and Quarantine Technology Centre, Shenzhen 518026 China.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 w:hint="eastAsia"/>
          <w:sz w:val="24"/>
          <w:szCs w:val="24"/>
          <w:vertAlign w:val="superscript"/>
          <w14:ligatures w14:val="standardContextual"/>
        </w:rPr>
        <w:t xml:space="preserve">e 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Department of Pulmonary and Critical Care Medicine, Zhongshan City People's Hospital, Zhongshan</w:t>
      </w:r>
      <w:r w:rsidRPr="00F323D1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528403</w:t>
      </w:r>
      <w:r w:rsidRPr="00F323D1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China.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 w:hint="eastAsia"/>
          <w:sz w:val="24"/>
          <w:szCs w:val="24"/>
          <w:vertAlign w:val="superscript"/>
          <w14:ligatures w14:val="standardContextual"/>
        </w:rPr>
        <w:t xml:space="preserve">f 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State Key Laboratory of Common Mechanism Research for Major Diseases, Suzhou Institute of Systems Medicine, Chinese Academy of Medical Sciences &amp; Peking Union Medical College, Suzhou</w:t>
      </w:r>
      <w:r w:rsidRPr="00F323D1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215128 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China.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# These authors equally contributed to this paper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* Corresponding author: 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E-mail addresses: 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/>
          <w:color w:val="0000FF"/>
          <w:sz w:val="24"/>
          <w:szCs w:val="24"/>
          <w14:ligatures w14:val="standardContextual"/>
        </w:rPr>
        <w:t>xingliu1@szu.edu.cn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(X</w:t>
      </w:r>
      <w:r w:rsidRPr="00F323D1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.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Liu);</w:t>
      </w:r>
      <w:r w:rsidRPr="00F323D1">
        <w:rPr>
          <w:rFonts w:ascii="Times New Roman" w:eastAsia="等线" w:hAnsi="Times New Roman" w:cs="Times New Roman"/>
          <w:color w:val="0000FF"/>
          <w:sz w:val="24"/>
          <w:szCs w:val="24"/>
          <w14:ligatures w14:val="standardContextual"/>
        </w:rPr>
        <w:t xml:space="preserve"> zhouzhuo@cams.cn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(Z. Zhou); </w:t>
      </w:r>
      <w:r w:rsidRPr="00F323D1">
        <w:rPr>
          <w:rFonts w:ascii="Times New Roman" w:eastAsia="等线" w:hAnsi="Times New Roman" w:cs="Times New Roman" w:hint="eastAsia"/>
          <w:color w:val="0000FF"/>
          <w:sz w:val="24"/>
          <w:szCs w:val="24"/>
          <w14:ligatures w14:val="standardContextual"/>
        </w:rPr>
        <w:t>zhongshanzab@126.com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(A. Zhang)</w:t>
      </w:r>
    </w:p>
    <w:p w:rsidR="00F323D1" w:rsidRPr="00F323D1" w:rsidRDefault="00F323D1" w:rsidP="00F323D1">
      <w:pPr>
        <w:spacing w:after="160" w:line="36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ORCID: 0000-0001-5862-9854 (Z. Zhou); ORCID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：</w:t>
      </w: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0009-0001-1754-9855 (A. Zhang)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  <w:sectPr w:rsidR="00F323D1" w:rsidRPr="00F323D1"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12"/>
        </w:sectPr>
      </w:pPr>
    </w:p>
    <w:p w:rsidR="00F323D1" w:rsidRPr="00F323D1" w:rsidRDefault="00F323D1" w:rsidP="00F323D1">
      <w:pPr>
        <w:widowControl/>
        <w:ind w:left="-60"/>
        <w:jc w:val="left"/>
        <w:rPr>
          <w:rFonts w:ascii="Arial" w:eastAsia="Times New Roman" w:hAnsi="Arial" w:cs="Arial"/>
          <w:color w:val="1F1F1F"/>
          <w:kern w:val="0"/>
          <w:sz w:val="24"/>
          <w:szCs w:val="24"/>
        </w:rPr>
      </w:pPr>
      <w:hyperlink r:id="rId6" w:anchor="mmc1" w:tooltip="Supplementary Material" w:history="1">
        <w:r w:rsidRPr="00F323D1">
          <w:rPr>
            <w:rFonts w:ascii="Arial" w:eastAsia="Times New Roman" w:hAnsi="Arial" w:cs="Arial"/>
            <w:color w:val="0272B1"/>
            <w:kern w:val="0"/>
            <w:sz w:val="24"/>
            <w:szCs w:val="24"/>
          </w:rPr>
          <w:t>Supplementary Material</w:t>
        </w:r>
      </w:hyperlink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Table S1 Bioinformatics_data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(Excel file)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  <w:sectPr w:rsidR="00F323D1" w:rsidRPr="00F323D1"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12"/>
        </w:sectPr>
      </w:pP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lastRenderedPageBreak/>
        <w:t xml:space="preserve">Table S2 </w:t>
      </w:r>
      <w:r w:rsidRPr="00F323D1">
        <w:rPr>
          <w:rFonts w:ascii="Times New Roman" w:eastAsia="等线" w:hAnsi="Times New Roman" w:cs="Times New Roman"/>
          <w:bCs/>
          <w:sz w:val="24"/>
          <w:szCs w:val="24"/>
          <w14:ligatures w14:val="standardContextual"/>
        </w:rPr>
        <w:t>The sequences of primers used in the paper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4"/>
        <w:gridCol w:w="6772"/>
      </w:tblGrid>
      <w:tr w:rsidR="00F323D1" w:rsidRPr="00F323D1" w:rsidTr="00E160F6">
        <w:trPr>
          <w:trHeight w:val="300"/>
        </w:trPr>
        <w:tc>
          <w:tcPr>
            <w:tcW w:w="973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jc w:val="center"/>
              <w:rPr>
                <w:rFonts w:eastAsia="等线"/>
                <w:b/>
                <w:bCs/>
                <w:szCs w:val="24"/>
                <w14:ligatures w14:val="standardContextual"/>
              </w:rPr>
            </w:pPr>
            <w:r w:rsidRPr="00F323D1">
              <w:rPr>
                <w:rFonts w:eastAsia="等线"/>
                <w:b/>
                <w:bCs/>
                <w:szCs w:val="24"/>
                <w14:ligatures w14:val="standardContextual"/>
              </w:rPr>
              <w:t>The sequences of primers used in the paper</w:t>
            </w:r>
          </w:p>
        </w:tc>
      </w:tr>
      <w:tr w:rsidR="00F323D1" w:rsidRPr="00F323D1" w:rsidTr="00E160F6">
        <w:trPr>
          <w:trHeight w:val="300"/>
        </w:trPr>
        <w:tc>
          <w:tcPr>
            <w:tcW w:w="9736" w:type="dxa"/>
            <w:gridSpan w:val="2"/>
            <w:tcBorders>
              <w:top w:val="single" w:sz="4" w:space="0" w:color="auto"/>
            </w:tcBorders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b/>
                <w:bCs/>
                <w:szCs w:val="24"/>
                <w14:ligatures w14:val="standardContextual"/>
              </w:rPr>
            </w:pPr>
            <w:r w:rsidRPr="00F323D1">
              <w:rPr>
                <w:rFonts w:eastAsia="等线"/>
                <w:b/>
                <w:bCs/>
                <w:szCs w:val="24"/>
                <w14:ligatures w14:val="standardContextual"/>
              </w:rPr>
              <w:t>Primers used for RT-PCR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VACV-E9L-qF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CGGCTAAGAGTTGCACATCCA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VACV-E9L-qR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CTCTGCTCCATTTAGTACCGATTCT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h-IMPDH2-qF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CGACACCCCGTTCAGAACTAT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h-IMPDH2-qR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TCAGGTAGTCCGCCATGCTA</w:t>
            </w:r>
          </w:p>
        </w:tc>
      </w:tr>
      <w:tr w:rsidR="00F323D1" w:rsidRPr="00F323D1" w:rsidTr="00E160F6">
        <w:trPr>
          <w:trHeight w:val="300"/>
        </w:trPr>
        <w:tc>
          <w:tcPr>
            <w:tcW w:w="9736" w:type="dxa"/>
            <w:gridSpan w:val="2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</w:p>
        </w:tc>
      </w:tr>
      <w:tr w:rsidR="00F323D1" w:rsidRPr="00F323D1" w:rsidTr="00E160F6">
        <w:trPr>
          <w:trHeight w:val="300"/>
        </w:trPr>
        <w:tc>
          <w:tcPr>
            <w:tcW w:w="9736" w:type="dxa"/>
            <w:gridSpan w:val="2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b/>
                <w:bCs/>
                <w:szCs w:val="24"/>
                <w14:ligatures w14:val="standardContextual"/>
              </w:rPr>
            </w:pPr>
            <w:r w:rsidRPr="00F323D1">
              <w:rPr>
                <w:rFonts w:eastAsia="等线"/>
                <w:b/>
                <w:bCs/>
                <w:szCs w:val="24"/>
                <w14:ligatures w14:val="standardContextual"/>
              </w:rPr>
              <w:t>Primers used for VR-Flag-IMPDH2 plasmid construction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VR-Flag-F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CAGGTAGTCGGCCATGCGGCCGCGATATCTGATCACA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VR-Flag-R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AAGCGGCTTTTCTGACCAGGCGCCTGGATCCAGAT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VR-Flag-hIMPDH2-F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AGATATCGCGGCCGCATGGCCGACTACCTGATTAGTGG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VR-Flag-hIMPDH2-R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GATCCAGGCGCCTGGTCAGAAAAGCCGCTTCTCATACGAA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VR-Flag-hIMPDH2(S276A)-F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TTTTGGACTCTGCCCAGGGAAATTCCATCTTCC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VR-Flag-hIMPDH2(S276A)-R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CTGGGCAGAGTCCAAAACCACTACATCCACAC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VR-Flag-hIMPDH2(G326A)-F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ATGGCCAGTGGCTCCATCTGCATTACGCAGGA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VR-Flag-hIMPDH2(G326A)-R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ATGGAGCCACTGGCCATGCCCACCCGCAGGGC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VR-Flag-hIMPDH2(T333I)-F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CTGCATTATCCAGGAAGTGCTGGCCTGTGGGC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VR-Flag-hIMPDH2(T333I)-R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CTTCCTGGATAATGCAGATGGAGCCACTTCCC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VR-Flag-hIMPDH2(Q441A)-F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AAATCAAAGTGGCCGCCGGAGTGTCTGGTGCTGTGCAG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VR-Flag-hIMPDH2(Q441A)-R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GGCGGCCACTTTGATTTTGTCAGCTTCACTGA</w:t>
            </w:r>
          </w:p>
        </w:tc>
      </w:tr>
      <w:tr w:rsidR="00F323D1" w:rsidRPr="00F323D1" w:rsidTr="00E160F6">
        <w:trPr>
          <w:trHeight w:val="300"/>
        </w:trPr>
        <w:tc>
          <w:tcPr>
            <w:tcW w:w="9736" w:type="dxa"/>
            <w:gridSpan w:val="2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</w:p>
        </w:tc>
      </w:tr>
      <w:tr w:rsidR="00F323D1" w:rsidRPr="00F323D1" w:rsidTr="00E160F6">
        <w:trPr>
          <w:trHeight w:val="300"/>
        </w:trPr>
        <w:tc>
          <w:tcPr>
            <w:tcW w:w="9736" w:type="dxa"/>
            <w:gridSpan w:val="2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b/>
                <w:bCs/>
                <w:szCs w:val="24"/>
                <w14:ligatures w14:val="standardContextual"/>
              </w:rPr>
            </w:pPr>
            <w:r w:rsidRPr="00F323D1">
              <w:rPr>
                <w:rFonts w:eastAsia="等线"/>
                <w:b/>
                <w:bCs/>
                <w:szCs w:val="24"/>
                <w14:ligatures w14:val="standardContextual"/>
              </w:rPr>
              <w:t>shRNA sequences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sh-hIMPDH2-F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CCGGCAAAGGGTCAATCCACAAATTCTCGAGAATTTGTGGATTGACCCTTTGTTTTTG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sh-hIMPDH2-R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AATTCAAAAACAAAGGGTCAATCCACAAATTCTCGAGAATTTGTGGATTGACCCTTTG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sh-hUSP5-F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CCGGAGCGAGGAGAAGTTTGAATTACTCGAGTAATTCAAACTTCTCCTCGCTTTTTTG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sh-hUSP5-R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AATTCAAAAAAGCGAGGAGAAGTTTGAATTACTCGAGTAATTCAAACTTCTCCTCGCT</w:t>
            </w:r>
          </w:p>
        </w:tc>
      </w:tr>
      <w:tr w:rsidR="00F323D1" w:rsidRPr="00F323D1" w:rsidTr="00E160F6">
        <w:trPr>
          <w:trHeight w:val="300"/>
        </w:trPr>
        <w:tc>
          <w:tcPr>
            <w:tcW w:w="9736" w:type="dxa"/>
            <w:gridSpan w:val="2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</w:p>
        </w:tc>
      </w:tr>
      <w:tr w:rsidR="00F323D1" w:rsidRPr="00F323D1" w:rsidTr="00E160F6">
        <w:trPr>
          <w:trHeight w:val="300"/>
        </w:trPr>
        <w:tc>
          <w:tcPr>
            <w:tcW w:w="9736" w:type="dxa"/>
            <w:gridSpan w:val="2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b/>
                <w:bCs/>
                <w:szCs w:val="24"/>
                <w14:ligatures w14:val="standardContextual"/>
              </w:rPr>
            </w:pPr>
            <w:r w:rsidRPr="00F323D1">
              <w:rPr>
                <w:rFonts w:eastAsia="等线"/>
                <w:b/>
                <w:bCs/>
                <w:szCs w:val="24"/>
                <w14:ligatures w14:val="standardContextual"/>
              </w:rPr>
              <w:t>Primers used for pGFP-A5 fluorescent virus construction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VACV-A5-Left-F(HindIII)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GACCATGATTACGCCAAGCTTGTGTACATACGCGTTCTCGAGCGC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VACV-A5-Left-R(BamHI)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GAGCTCGGTACCCGGGGATCCTAAGATTGGATATTAAAATCACG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VACV-A5L-Right-F(BamHI)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TAATATCCAATCTTAGGATCCTTAAGGCTTTAAAATTGAATTGCGA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VACV-A5L-Right-R(EcoRI)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AAAACGACGGCCAGTGAATTCTGTCTATTGACAGATACGATAGAAT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A5-GFP-F(BamHI)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TAATATCCAATCTTATTACTTGTACAGCTCGTCCATGCC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A5-GFP-R(BamHI)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ATTTTAAAGCCTTAAATGGACTTCTTTAACAAGTTCTCACAG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VACV-A5-F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GCCCTTGCTCACCATCTTTTGGAATCGTTCAAAACCTTT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VACV-A5-R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GAGCTCGGTACCCGGGGATCCATGGACTTCTTTAACAAGTTCTCACAG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GFP-F</w:t>
            </w:r>
          </w:p>
        </w:tc>
        <w:tc>
          <w:tcPr>
            <w:tcW w:w="6197" w:type="dxa"/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GACCATGATTACGCCAAGCTTGTTACTTGTACAGCTCGTCCATGCC</w:t>
            </w:r>
          </w:p>
        </w:tc>
      </w:tr>
      <w:tr w:rsidR="00F323D1" w:rsidRPr="00F323D1" w:rsidTr="00E160F6">
        <w:trPr>
          <w:trHeight w:val="300"/>
        </w:trPr>
        <w:tc>
          <w:tcPr>
            <w:tcW w:w="3539" w:type="dxa"/>
            <w:tcBorders>
              <w:bottom w:val="single" w:sz="4" w:space="0" w:color="auto"/>
            </w:tcBorders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GFP-R</w:t>
            </w:r>
          </w:p>
        </w:tc>
        <w:tc>
          <w:tcPr>
            <w:tcW w:w="6197" w:type="dxa"/>
            <w:tcBorders>
              <w:bottom w:val="single" w:sz="4" w:space="0" w:color="auto"/>
            </w:tcBorders>
            <w:noWrap/>
            <w:hideMark/>
          </w:tcPr>
          <w:p w:rsidR="00F323D1" w:rsidRPr="00F323D1" w:rsidRDefault="00F323D1" w:rsidP="00F323D1">
            <w:pPr>
              <w:adjustRightInd w:val="0"/>
              <w:snapToGrid w:val="0"/>
              <w:rPr>
                <w:rFonts w:eastAsia="等线"/>
                <w:szCs w:val="24"/>
                <w14:ligatures w14:val="standardContextual"/>
              </w:rPr>
            </w:pPr>
            <w:r w:rsidRPr="00F323D1">
              <w:rPr>
                <w:rFonts w:eastAsia="等线"/>
                <w:szCs w:val="24"/>
                <w14:ligatures w14:val="standardContextual"/>
              </w:rPr>
              <w:t>GAACGATTCCAAAAGATGGTGAGCAAGGGCGAGGAGCTG</w:t>
            </w:r>
          </w:p>
        </w:tc>
      </w:tr>
    </w:tbl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:rsidR="00F323D1" w:rsidRPr="00F323D1" w:rsidRDefault="00F323D1" w:rsidP="00F323D1">
      <w:pPr>
        <w:widowControl/>
        <w:rPr>
          <w:rFonts w:ascii="Times New Roman" w:eastAsia="等线" w:hAnsi="Times New Roman" w:cs="Times New Roman"/>
          <w:sz w:val="24"/>
          <w:szCs w:val="24"/>
          <w14:ligatures w14:val="standardContextual"/>
        </w:rPr>
        <w:sectPr w:rsidR="00F323D1" w:rsidRPr="00F323D1"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12"/>
        </w:sectPr>
      </w:pPr>
    </w:p>
    <w:p w:rsidR="00F323D1" w:rsidRPr="00F323D1" w:rsidRDefault="00F323D1" w:rsidP="00F323D1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</w:pPr>
      <w:r w:rsidRPr="00F323D1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lastRenderedPageBreak/>
        <w:t xml:space="preserve">Table S3 </w:t>
      </w:r>
      <w:r w:rsidRPr="00F323D1"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  <w:t xml:space="preserve">ProductName </w:t>
      </w:r>
      <w:r w:rsidRPr="00F323D1">
        <w:rPr>
          <w:rFonts w:ascii="Times New Roman" w:eastAsia="等线" w:hAnsi="Times New Roman" w:cs="Times New Roman"/>
          <w:bCs/>
          <w:sz w:val="24"/>
          <w:szCs w:val="24"/>
          <w14:ligatures w14:val="standardContextual"/>
        </w:rPr>
        <w:t xml:space="preserve">and </w:t>
      </w:r>
      <w:r w:rsidRPr="00F323D1"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  <w:t>Catalog Number</w:t>
      </w:r>
    </w:p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tbl>
      <w:tblPr>
        <w:tblW w:w="6180" w:type="dxa"/>
        <w:tblInd w:w="-5" w:type="dxa"/>
        <w:tblLook w:val="04A0" w:firstRow="1" w:lastRow="0" w:firstColumn="1" w:lastColumn="0" w:noHBand="0" w:noVBand="1"/>
      </w:tblPr>
      <w:tblGrid>
        <w:gridCol w:w="2720"/>
        <w:gridCol w:w="3460"/>
      </w:tblGrid>
      <w:tr w:rsidR="00F323D1" w:rsidRPr="00F323D1" w:rsidTr="00E160F6">
        <w:trPr>
          <w:trHeight w:val="300"/>
        </w:trPr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</w:rPr>
              <w:t>ProductName</w:t>
            </w:r>
          </w:p>
        </w:tc>
        <w:tc>
          <w:tcPr>
            <w:tcW w:w="34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</w:rPr>
              <w:t>Catalog Number</w:t>
            </w:r>
          </w:p>
        </w:tc>
      </w:tr>
      <w:tr w:rsidR="00F323D1" w:rsidRPr="00F323D1" w:rsidTr="00E160F6">
        <w:trPr>
          <w:trHeight w:val="300"/>
        </w:trPr>
        <w:tc>
          <w:tcPr>
            <w:tcW w:w="27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6-Methylpurine riboside</w:t>
            </w:r>
          </w:p>
        </w:tc>
        <w:tc>
          <w:tcPr>
            <w:tcW w:w="34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HY-W154568</w:t>
            </w:r>
          </w:p>
        </w:tc>
      </w:tr>
      <w:tr w:rsidR="00F323D1" w:rsidRPr="00F323D1" w:rsidTr="00E160F6">
        <w:trPr>
          <w:trHeight w:val="300"/>
        </w:trPr>
        <w:tc>
          <w:tcPr>
            <w:tcW w:w="272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Teriflunomide</w:t>
            </w:r>
          </w:p>
        </w:tc>
        <w:tc>
          <w:tcPr>
            <w:tcW w:w="346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HY-15405</w:t>
            </w:r>
          </w:p>
        </w:tc>
      </w:tr>
      <w:tr w:rsidR="00F323D1" w:rsidRPr="00F323D1" w:rsidTr="00E160F6">
        <w:trPr>
          <w:trHeight w:val="300"/>
        </w:trPr>
        <w:tc>
          <w:tcPr>
            <w:tcW w:w="272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Brequinar</w:t>
            </w:r>
          </w:p>
        </w:tc>
        <w:tc>
          <w:tcPr>
            <w:tcW w:w="346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HY-108325</w:t>
            </w:r>
          </w:p>
        </w:tc>
      </w:tr>
      <w:tr w:rsidR="00F323D1" w:rsidRPr="00F323D1" w:rsidTr="00E160F6">
        <w:trPr>
          <w:trHeight w:val="300"/>
        </w:trPr>
        <w:tc>
          <w:tcPr>
            <w:tcW w:w="272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Mycophenolic acid</w:t>
            </w:r>
          </w:p>
        </w:tc>
        <w:tc>
          <w:tcPr>
            <w:tcW w:w="346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HY-B0421</w:t>
            </w:r>
          </w:p>
        </w:tc>
      </w:tr>
      <w:tr w:rsidR="00F323D1" w:rsidRPr="00F323D1" w:rsidTr="00E160F6">
        <w:trPr>
          <w:trHeight w:val="300"/>
        </w:trPr>
        <w:tc>
          <w:tcPr>
            <w:tcW w:w="272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Mycophenolate Mofetil</w:t>
            </w:r>
          </w:p>
        </w:tc>
        <w:tc>
          <w:tcPr>
            <w:tcW w:w="346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HY-B0199</w:t>
            </w:r>
          </w:p>
        </w:tc>
      </w:tr>
      <w:tr w:rsidR="00F323D1" w:rsidRPr="00F323D1" w:rsidTr="00E160F6">
        <w:trPr>
          <w:trHeight w:val="300"/>
        </w:trPr>
        <w:tc>
          <w:tcPr>
            <w:tcW w:w="272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AVN-944</w:t>
            </w:r>
          </w:p>
        </w:tc>
        <w:tc>
          <w:tcPr>
            <w:tcW w:w="346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hyperlink r:id="rId7" w:history="1">
              <w:r w:rsidRPr="00F323D1">
                <w:rPr>
                  <w:rFonts w:ascii="Times New Roman" w:eastAsia="Times New Roman" w:hAnsi="Times New Roman" w:cs="Times New Roman"/>
                  <w:kern w:val="0"/>
                  <w:sz w:val="22"/>
                </w:rPr>
                <w:t>HY-13560</w:t>
              </w:r>
            </w:hyperlink>
          </w:p>
        </w:tc>
      </w:tr>
      <w:tr w:rsidR="00F323D1" w:rsidRPr="00F323D1" w:rsidTr="00E160F6">
        <w:trPr>
          <w:trHeight w:val="300"/>
        </w:trPr>
        <w:tc>
          <w:tcPr>
            <w:tcW w:w="272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5-Fluorouracil</w:t>
            </w:r>
          </w:p>
        </w:tc>
        <w:tc>
          <w:tcPr>
            <w:tcW w:w="346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HY-90006</w:t>
            </w:r>
          </w:p>
        </w:tc>
      </w:tr>
      <w:tr w:rsidR="00F323D1" w:rsidRPr="00F323D1" w:rsidTr="00E160F6">
        <w:trPr>
          <w:trHeight w:val="300"/>
        </w:trPr>
        <w:tc>
          <w:tcPr>
            <w:tcW w:w="272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Pemetrexed</w:t>
            </w:r>
          </w:p>
        </w:tc>
        <w:tc>
          <w:tcPr>
            <w:tcW w:w="346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HY-10820</w:t>
            </w:r>
          </w:p>
        </w:tc>
      </w:tr>
      <w:tr w:rsidR="00F323D1" w:rsidRPr="00F323D1" w:rsidTr="00E160F6">
        <w:trPr>
          <w:trHeight w:val="300"/>
        </w:trPr>
        <w:tc>
          <w:tcPr>
            <w:tcW w:w="272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Methotrexate</w:t>
            </w:r>
          </w:p>
        </w:tc>
        <w:tc>
          <w:tcPr>
            <w:tcW w:w="3460" w:type="dxa"/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HY-14519A</w:t>
            </w:r>
          </w:p>
        </w:tc>
      </w:tr>
      <w:tr w:rsidR="00F323D1" w:rsidRPr="00F323D1" w:rsidTr="00E160F6">
        <w:trPr>
          <w:trHeight w:val="300"/>
        </w:trPr>
        <w:tc>
          <w:tcPr>
            <w:tcW w:w="27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Hydroxyurea</w:t>
            </w:r>
          </w:p>
        </w:tc>
        <w:tc>
          <w:tcPr>
            <w:tcW w:w="346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323D1" w:rsidRPr="00F323D1" w:rsidRDefault="00F323D1" w:rsidP="00F323D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F323D1">
              <w:rPr>
                <w:rFonts w:ascii="Times New Roman" w:eastAsia="Times New Roman" w:hAnsi="Times New Roman" w:cs="Times New Roman"/>
                <w:kern w:val="0"/>
                <w:sz w:val="22"/>
              </w:rPr>
              <w:t>HY-B0313R</w:t>
            </w:r>
          </w:p>
        </w:tc>
      </w:tr>
    </w:tbl>
    <w:p w:rsidR="00F323D1" w:rsidRPr="00F323D1" w:rsidRDefault="00F323D1" w:rsidP="00F323D1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:rsidR="00F323D1" w:rsidRDefault="00F323D1">
      <w:bookmarkStart w:id="0" w:name="_GoBack"/>
      <w:bookmarkEnd w:id="0"/>
    </w:p>
    <w:sectPr w:rsidR="00F32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AD1" w:rsidRDefault="000C6AD1" w:rsidP="00F323D1">
      <w:r>
        <w:separator/>
      </w:r>
    </w:p>
  </w:endnote>
  <w:endnote w:type="continuationSeparator" w:id="0">
    <w:p w:rsidR="000C6AD1" w:rsidRDefault="000C6AD1" w:rsidP="00F3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AD1" w:rsidRDefault="000C6AD1" w:rsidP="00F323D1">
      <w:r>
        <w:separator/>
      </w:r>
    </w:p>
  </w:footnote>
  <w:footnote w:type="continuationSeparator" w:id="0">
    <w:p w:rsidR="000C6AD1" w:rsidRDefault="000C6AD1" w:rsidP="00F32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49"/>
    <w:rsid w:val="000C6AD1"/>
    <w:rsid w:val="001B0E49"/>
    <w:rsid w:val="0073366C"/>
    <w:rsid w:val="00F3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AAB9E3-A1D8-4D0A-AC79-745F24AD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23D1"/>
    <w:pPr>
      <w:tabs>
        <w:tab w:val="center" w:pos="4153"/>
        <w:tab w:val="right" w:pos="8306"/>
      </w:tabs>
    </w:pPr>
  </w:style>
  <w:style w:type="character" w:customStyle="1" w:styleId="Char">
    <w:name w:val="页眉 Char"/>
    <w:basedOn w:val="a0"/>
    <w:link w:val="a3"/>
    <w:uiPriority w:val="99"/>
    <w:rsid w:val="00F323D1"/>
  </w:style>
  <w:style w:type="paragraph" w:styleId="a4">
    <w:name w:val="footer"/>
    <w:basedOn w:val="a"/>
    <w:link w:val="Char0"/>
    <w:uiPriority w:val="99"/>
    <w:unhideWhenUsed/>
    <w:rsid w:val="00F323D1"/>
    <w:pPr>
      <w:tabs>
        <w:tab w:val="center" w:pos="4153"/>
        <w:tab w:val="right" w:pos="8306"/>
      </w:tabs>
    </w:pPr>
  </w:style>
  <w:style w:type="character" w:customStyle="1" w:styleId="Char0">
    <w:name w:val="页脚 Char"/>
    <w:basedOn w:val="a0"/>
    <w:link w:val="a4"/>
    <w:uiPriority w:val="99"/>
    <w:rsid w:val="00F323D1"/>
  </w:style>
  <w:style w:type="paragraph" w:customStyle="1" w:styleId="paragraph">
    <w:name w:val="paragraph"/>
    <w:basedOn w:val="a"/>
    <w:semiHidden/>
    <w:qFormat/>
    <w:rsid w:val="00F323D1"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  <w:style w:type="character" w:styleId="a5">
    <w:name w:val="line number"/>
    <w:basedOn w:val="a0"/>
    <w:uiPriority w:val="99"/>
    <w:semiHidden/>
    <w:unhideWhenUsed/>
    <w:rsid w:val="00F323D1"/>
  </w:style>
  <w:style w:type="table" w:styleId="a6">
    <w:name w:val="Table Grid"/>
    <w:basedOn w:val="a1"/>
    <w:uiPriority w:val="59"/>
    <w:qFormat/>
    <w:rsid w:val="00F323D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edchemexpress.cn/AVN-94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science/article/pii/S1995820X26000970?__cf_chl_tk=2CZKKVUQx2ivEj66VtWuBpSU8V7UqsvoO74T7Jat1l0-1781665467-1.0.1.1-vnc3G4TQIWdlqkZorBQ5TTKoXFx0bv9yyQ1KAmKjQm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3580</Characters>
  <Application>Microsoft Office Word</Application>
  <DocSecurity>0</DocSecurity>
  <Lines>29</Lines>
  <Paragraphs>8</Paragraphs>
  <ScaleCrop>false</ScaleCrop>
  <Company>神州网信技术有限公司</Company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 sin</dc:creator>
  <cp:keywords/>
  <dc:description/>
  <cp:lastModifiedBy>virolo sin</cp:lastModifiedBy>
  <cp:revision>2</cp:revision>
  <dcterms:created xsi:type="dcterms:W3CDTF">2026-07-17T07:17:00Z</dcterms:created>
  <dcterms:modified xsi:type="dcterms:W3CDTF">2026-07-17T07:20:00Z</dcterms:modified>
</cp:coreProperties>
</file>