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5B" w:rsidRPr="008C7C5B" w:rsidRDefault="008C7C5B">
      <w:pPr>
        <w:rPr>
          <w:rFonts w:ascii="Times New Roman" w:hAnsi="Times New Roman" w:cs="Times New Roman"/>
          <w:b/>
          <w:i/>
          <w:sz w:val="36"/>
        </w:rPr>
      </w:pPr>
      <w:proofErr w:type="spellStart"/>
      <w:r w:rsidRPr="008C7C5B">
        <w:rPr>
          <w:rFonts w:ascii="Times New Roman" w:hAnsi="Times New Roman" w:cs="Times New Roman"/>
          <w:b/>
          <w:i/>
          <w:sz w:val="36"/>
        </w:rPr>
        <w:t>Virologica</w:t>
      </w:r>
      <w:proofErr w:type="spellEnd"/>
      <w:r w:rsidRPr="008C7C5B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8C7C5B">
        <w:rPr>
          <w:rFonts w:ascii="Times New Roman" w:hAnsi="Times New Roman" w:cs="Times New Roman"/>
          <w:b/>
          <w:i/>
          <w:sz w:val="36"/>
        </w:rPr>
        <w:t>Sinica</w:t>
      </w:r>
      <w:proofErr w:type="spellEnd"/>
    </w:p>
    <w:p w:rsidR="008C7C5B" w:rsidRPr="008C7C5B" w:rsidRDefault="008C7C5B">
      <w:pPr>
        <w:rPr>
          <w:rFonts w:ascii="Times New Roman" w:hAnsi="Times New Roman" w:cs="Times New Roman"/>
          <w:b/>
          <w:sz w:val="36"/>
        </w:rPr>
      </w:pPr>
      <w:r w:rsidRPr="008C7C5B">
        <w:rPr>
          <w:rFonts w:ascii="Times New Roman" w:hAnsi="Times New Roman" w:cs="Times New Roman" w:hint="eastAsia"/>
          <w:b/>
          <w:sz w:val="36"/>
        </w:rPr>
        <w:t>S</w:t>
      </w:r>
      <w:r w:rsidRPr="008C7C5B">
        <w:rPr>
          <w:rFonts w:ascii="Times New Roman" w:hAnsi="Times New Roman" w:cs="Times New Roman"/>
          <w:b/>
          <w:sz w:val="36"/>
        </w:rPr>
        <w:t>upplementary Materials</w:t>
      </w:r>
    </w:p>
    <w:p w:rsidR="008C7C5B" w:rsidRDefault="008C7C5B">
      <w:pPr>
        <w:rPr>
          <w:rFonts w:ascii="Times New Roman" w:hAnsi="Times New Roman" w:cs="Times New Roman"/>
          <w:b/>
          <w:i/>
          <w:sz w:val="36"/>
        </w:rPr>
      </w:pPr>
    </w:p>
    <w:p w:rsidR="008C7C5B" w:rsidRPr="00B61ABA" w:rsidRDefault="008C7C5B" w:rsidP="008C7C5B">
      <w:pPr>
        <w:spacing w:line="360" w:lineRule="auto"/>
        <w:jc w:val="left"/>
        <w:rPr>
          <w:rFonts w:ascii="Times New Roman" w:hAnsi="Times New Roman"/>
          <w:b/>
          <w:sz w:val="28"/>
        </w:rPr>
      </w:pPr>
      <w:r w:rsidRPr="00B61ABA">
        <w:rPr>
          <w:rFonts w:ascii="Times New Roman" w:hAnsi="Times New Roman"/>
          <w:b/>
          <w:sz w:val="28"/>
        </w:rPr>
        <w:t xml:space="preserve">Stabilization of </w:t>
      </w:r>
      <w:proofErr w:type="spellStart"/>
      <w:r w:rsidRPr="00B61ABA">
        <w:rPr>
          <w:rFonts w:ascii="Times New Roman" w:hAnsi="Times New Roman"/>
          <w:b/>
          <w:sz w:val="28"/>
        </w:rPr>
        <w:t>prefusion</w:t>
      </w:r>
      <w:proofErr w:type="spellEnd"/>
      <w:r w:rsidRPr="00B61ABA">
        <w:rPr>
          <w:rFonts w:ascii="Times New Roman" w:hAnsi="Times New Roman"/>
          <w:b/>
          <w:sz w:val="28"/>
        </w:rPr>
        <w:t xml:space="preserve"> </w:t>
      </w:r>
      <w:proofErr w:type="spellStart"/>
      <w:r w:rsidRPr="00B61ABA">
        <w:rPr>
          <w:rFonts w:ascii="Times New Roman" w:hAnsi="Times New Roman"/>
          <w:b/>
          <w:sz w:val="28"/>
        </w:rPr>
        <w:t>hMPV</w:t>
      </w:r>
      <w:proofErr w:type="spellEnd"/>
      <w:r w:rsidRPr="00B61ABA">
        <w:rPr>
          <w:rFonts w:ascii="Times New Roman" w:hAnsi="Times New Roman"/>
          <w:b/>
          <w:sz w:val="28"/>
        </w:rPr>
        <w:t xml:space="preserve"> F improves manufacturability and protective immunity across </w:t>
      </w:r>
      <w:proofErr w:type="spellStart"/>
      <w:r w:rsidRPr="00B61ABA">
        <w:rPr>
          <w:rFonts w:ascii="Times New Roman" w:hAnsi="Times New Roman"/>
          <w:b/>
          <w:sz w:val="28"/>
        </w:rPr>
        <w:t>hMPV</w:t>
      </w:r>
      <w:proofErr w:type="spellEnd"/>
      <w:r w:rsidRPr="00B61ABA">
        <w:rPr>
          <w:rFonts w:ascii="Times New Roman" w:hAnsi="Times New Roman"/>
          <w:b/>
          <w:sz w:val="28"/>
        </w:rPr>
        <w:t xml:space="preserve"> lineages</w:t>
      </w:r>
    </w:p>
    <w:p w:rsidR="008C7C5B" w:rsidRPr="00B61ABA" w:rsidRDefault="008C7C5B" w:rsidP="008C7C5B">
      <w:pPr>
        <w:spacing w:line="360" w:lineRule="auto"/>
        <w:jc w:val="left"/>
        <w:rPr>
          <w:rFonts w:ascii="Times New Roman" w:hAnsi="Times New Roman"/>
          <w:b/>
          <w:sz w:val="28"/>
        </w:rPr>
      </w:pPr>
      <w:r w:rsidRPr="00B61ABA">
        <w:rPr>
          <w:rFonts w:ascii="Times New Roman" w:hAnsi="Times New Roman"/>
          <w:b/>
          <w:sz w:val="28"/>
        </w:rPr>
        <w:t xml:space="preserve"> </w:t>
      </w:r>
    </w:p>
    <w:p w:rsidR="008C7C5B" w:rsidRPr="00B61ABA" w:rsidRDefault="008C7C5B" w:rsidP="008C7C5B">
      <w:pPr>
        <w:spacing w:line="360" w:lineRule="auto"/>
        <w:rPr>
          <w:rFonts w:ascii="Times New Roman" w:eastAsia="仿宋" w:hAnsi="Times New Roman"/>
          <w:sz w:val="24"/>
          <w:szCs w:val="24"/>
          <w:vertAlign w:val="superscript"/>
        </w:rPr>
      </w:pPr>
      <w:bookmarkStart w:id="0" w:name="OLE_LINK31"/>
      <w:bookmarkStart w:id="1" w:name="OLE_LINK32"/>
      <w:proofErr w:type="spellStart"/>
      <w:r w:rsidRPr="009F30E0">
        <w:rPr>
          <w:rFonts w:ascii="Times New Roman" w:eastAsia="仿宋" w:hAnsi="Times New Roman"/>
          <w:sz w:val="24"/>
          <w:szCs w:val="24"/>
        </w:rPr>
        <w:t>Changbin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Qu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r w:rsidRPr="009F30E0">
        <w:rPr>
          <w:rFonts w:ascii="Times New Roman" w:eastAsia="仿宋" w:hAnsi="Times New Roman"/>
          <w:sz w:val="24"/>
          <w:szCs w:val="24"/>
          <w:vertAlign w:val="superscript"/>
        </w:rPr>
        <w:t>a, d, 1</w:t>
      </w:r>
      <w:r w:rsidRPr="009F30E0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Jingjing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Zou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r w:rsidRPr="009F30E0">
        <w:rPr>
          <w:rFonts w:ascii="Times New Roman" w:eastAsia="仿宋" w:hAnsi="Times New Roman"/>
          <w:sz w:val="24"/>
          <w:szCs w:val="24"/>
          <w:vertAlign w:val="superscript"/>
        </w:rPr>
        <w:t>d, e, 1</w:t>
      </w:r>
      <w:r w:rsidRPr="009F30E0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D</w:t>
      </w:r>
      <w:r w:rsidRPr="00B61ABA">
        <w:rPr>
          <w:rFonts w:ascii="Times New Roman" w:eastAsia="仿宋" w:hAnsi="Times New Roman"/>
          <w:sz w:val="24"/>
          <w:szCs w:val="24"/>
        </w:rPr>
        <w:t>ongyu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Niu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d</w:t>
      </w:r>
      <w:r w:rsidRPr="00B61ABA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Qingxin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Wu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c, d</w:t>
      </w:r>
      <w:r w:rsidRPr="00B61ABA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Lijie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Liu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c, d</w:t>
      </w:r>
      <w:r w:rsidRPr="00B61ABA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Mengting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Yu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</w:t>
      </w:r>
      <w:r w:rsidRPr="00B61ABA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Qiqi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Zhang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</w:t>
      </w:r>
      <w:r w:rsidRPr="00B61ABA">
        <w:rPr>
          <w:rFonts w:ascii="Times New Roman" w:eastAsia="仿宋" w:hAnsi="Times New Roman"/>
          <w:sz w:val="24"/>
          <w:szCs w:val="24"/>
        </w:rPr>
        <w:t xml:space="preserve">, Long Zhang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b, c, d</w:t>
      </w:r>
      <w:r>
        <w:rPr>
          <w:rFonts w:ascii="Times New Roman" w:eastAsia="仿宋" w:hAnsi="Times New Roman"/>
          <w:sz w:val="24"/>
          <w:szCs w:val="24"/>
          <w:vertAlign w:val="superscript"/>
        </w:rPr>
        <w:t xml:space="preserve">,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*</w:t>
      </w:r>
      <w:r w:rsidRPr="00B61ABA">
        <w:rPr>
          <w:rFonts w:ascii="Times New Roman" w:eastAsia="仿宋" w:hAnsi="Times New Roman"/>
          <w:sz w:val="24"/>
          <w:szCs w:val="24"/>
        </w:rPr>
        <w:t xml:space="preserve">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Shuai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Wei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d</w:t>
      </w:r>
      <w:r>
        <w:rPr>
          <w:rFonts w:ascii="Times New Roman" w:eastAsia="仿宋" w:hAnsi="Times New Roman"/>
          <w:sz w:val="24"/>
          <w:szCs w:val="24"/>
          <w:vertAlign w:val="superscript"/>
        </w:rPr>
        <w:t>,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*</w:t>
      </w:r>
      <w:r w:rsidRPr="00B61ABA">
        <w:rPr>
          <w:rFonts w:ascii="Times New Roman" w:eastAsia="仿宋" w:hAnsi="Times New Roman"/>
          <w:sz w:val="24"/>
          <w:szCs w:val="24"/>
        </w:rPr>
        <w:t xml:space="preserve">, Wei Zhang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b, c, d</w:t>
      </w:r>
      <w:r>
        <w:rPr>
          <w:rFonts w:ascii="Times New Roman" w:eastAsia="仿宋" w:hAnsi="Times New Roman"/>
          <w:sz w:val="24"/>
          <w:szCs w:val="24"/>
          <w:vertAlign w:val="superscript"/>
        </w:rPr>
        <w:t xml:space="preserve">,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*</w:t>
      </w:r>
      <w:r w:rsidRPr="00B61ABA">
        <w:rPr>
          <w:rFonts w:ascii="Times New Roman" w:eastAsia="仿宋" w:hAnsi="Times New Roman"/>
          <w:sz w:val="24"/>
          <w:szCs w:val="24"/>
        </w:rPr>
        <w:t xml:space="preserve">, Wei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Peng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c, d, e</w:t>
      </w:r>
      <w:r>
        <w:rPr>
          <w:rFonts w:ascii="Times New Roman" w:eastAsia="仿宋" w:hAnsi="Times New Roman"/>
          <w:sz w:val="24"/>
          <w:szCs w:val="24"/>
          <w:vertAlign w:val="superscript"/>
        </w:rPr>
        <w:t xml:space="preserve">, </w:t>
      </w:r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*</w:t>
      </w:r>
    </w:p>
    <w:bookmarkEnd w:id="0"/>
    <w:bookmarkEnd w:id="1"/>
    <w:p w:rsidR="008C7C5B" w:rsidRPr="00B61ABA" w:rsidRDefault="008C7C5B" w:rsidP="008C7C5B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proofErr w:type="gramStart"/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a</w:t>
      </w:r>
      <w:proofErr w:type="gramEnd"/>
      <w:r w:rsidRPr="00B61ABA">
        <w:rPr>
          <w:rFonts w:ascii="Times New Roman" w:eastAsia="仿宋" w:hAnsi="Times New Roman"/>
          <w:sz w:val="24"/>
          <w:szCs w:val="24"/>
        </w:rPr>
        <w:t xml:space="preserve"> Division of Life Sciences and Medicine, University of Science and Technology of China, Hefei 230027, China.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proofErr w:type="gramStart"/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b</w:t>
      </w:r>
      <w:proofErr w:type="gramEnd"/>
      <w:r w:rsidRPr="00B61ABA">
        <w:rPr>
          <w:rFonts w:ascii="Times New Roman" w:eastAsia="仿宋" w:hAnsi="Times New Roman"/>
          <w:sz w:val="24"/>
          <w:szCs w:val="24"/>
        </w:rPr>
        <w:t xml:space="preserve"> State Key Laboratory of Medicinal Chemical Biology,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Nankai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University, Tianjin </w:t>
      </w:r>
      <w:r>
        <w:rPr>
          <w:rFonts w:ascii="Times New Roman" w:eastAsia="仿宋" w:hAnsi="Times New Roman"/>
          <w:sz w:val="24"/>
          <w:szCs w:val="24"/>
        </w:rPr>
        <w:t>300071</w:t>
      </w:r>
      <w:r w:rsidRPr="00B61ABA">
        <w:rPr>
          <w:rFonts w:ascii="Times New Roman" w:eastAsia="仿宋" w:hAnsi="Times New Roman"/>
          <w:sz w:val="24"/>
          <w:szCs w:val="24"/>
        </w:rPr>
        <w:t xml:space="preserve"> China.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proofErr w:type="gramStart"/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c</w:t>
      </w:r>
      <w:proofErr w:type="gramEnd"/>
      <w:r w:rsidRPr="00B61ABA">
        <w:rPr>
          <w:rFonts w:ascii="Times New Roman" w:eastAsia="仿宋" w:hAnsi="Times New Roman"/>
          <w:sz w:val="24"/>
          <w:szCs w:val="24"/>
        </w:rPr>
        <w:t xml:space="preserve"> State Key Laboratory of Respiratory Disease, the First Affiliated Hospital of Guangzhou Medical University, Guangzhou Medical University, Guangzhou 510182, China.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proofErr w:type="gramStart"/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d</w:t>
      </w:r>
      <w:proofErr w:type="gramEnd"/>
      <w:r w:rsidRPr="00B61ABA">
        <w:rPr>
          <w:rFonts w:ascii="Times New Roman" w:eastAsia="仿宋" w:hAnsi="Times New Roman"/>
          <w:sz w:val="24"/>
          <w:szCs w:val="24"/>
        </w:rPr>
        <w:t xml:space="preserve"> Guangzhou National Laboratory, Guangzhou International Bio Island, Guangzhou 510005, China.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proofErr w:type="gramStart"/>
      <w:r w:rsidRPr="00B61ABA">
        <w:rPr>
          <w:rFonts w:ascii="Times New Roman" w:eastAsia="仿宋" w:hAnsi="Times New Roman"/>
          <w:sz w:val="24"/>
          <w:szCs w:val="24"/>
          <w:vertAlign w:val="superscript"/>
        </w:rPr>
        <w:t>e</w:t>
      </w:r>
      <w:proofErr w:type="gramEnd"/>
      <w:r w:rsidRPr="00B61ABA">
        <w:rPr>
          <w:rFonts w:ascii="Times New Roman" w:eastAsia="仿宋" w:hAnsi="Times New Roman"/>
          <w:sz w:val="24"/>
          <w:szCs w:val="24"/>
        </w:rPr>
        <w:t xml:space="preserve"> Institute of Pathogenic Biology, Hengyang Medical College; Hunan Provincial Key Laboratory for Special Pathogens Prevention and Control, University of South China, Hengyang 421001, China.</w:t>
      </w:r>
    </w:p>
    <w:p w:rsidR="008C7C5B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</w:p>
    <w:p w:rsidR="008C7C5B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  <w:r w:rsidRPr="009F30E0">
        <w:rPr>
          <w:rFonts w:ascii="Times New Roman" w:eastAsia="仿宋" w:hAnsi="Times New Roman"/>
          <w:sz w:val="24"/>
          <w:szCs w:val="24"/>
          <w:vertAlign w:val="superscript"/>
        </w:rPr>
        <w:t xml:space="preserve">1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Changbin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Qu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and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Jingjing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</w:t>
      </w:r>
      <w:proofErr w:type="spellStart"/>
      <w:r w:rsidRPr="009F30E0">
        <w:rPr>
          <w:rFonts w:ascii="Times New Roman" w:eastAsia="仿宋" w:hAnsi="Times New Roman"/>
          <w:sz w:val="24"/>
          <w:szCs w:val="24"/>
        </w:rPr>
        <w:t>Zou</w:t>
      </w:r>
      <w:proofErr w:type="spellEnd"/>
      <w:r w:rsidRPr="009F30E0">
        <w:rPr>
          <w:rFonts w:ascii="Times New Roman" w:eastAsia="仿宋" w:hAnsi="Times New Roman"/>
          <w:sz w:val="24"/>
          <w:szCs w:val="24"/>
        </w:rPr>
        <w:t xml:space="preserve"> contributed equally to this study.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rPr>
          <w:rFonts w:ascii="Times New Roman" w:eastAsia="仿宋" w:hAnsi="Times New Roman"/>
          <w:sz w:val="24"/>
          <w:szCs w:val="24"/>
        </w:rPr>
      </w:pPr>
    </w:p>
    <w:p w:rsidR="008C7C5B" w:rsidRPr="00B61ABA" w:rsidRDefault="008C7C5B" w:rsidP="008C7C5B">
      <w:pPr>
        <w:pStyle w:val="a4"/>
        <w:spacing w:line="360" w:lineRule="auto"/>
        <w:ind w:firstLineChars="0" w:firstLine="0"/>
        <w:jc w:val="left"/>
        <w:rPr>
          <w:rFonts w:ascii="Times New Roman" w:eastAsia="仿宋" w:hAnsi="Times New Roman"/>
          <w:sz w:val="24"/>
          <w:szCs w:val="24"/>
        </w:rPr>
      </w:pPr>
      <w:r w:rsidRPr="00B61ABA">
        <w:rPr>
          <w:rFonts w:ascii="Times New Roman" w:eastAsia="仿宋" w:hAnsi="Times New Roman"/>
          <w:sz w:val="24"/>
          <w:szCs w:val="24"/>
        </w:rPr>
        <w:t>Corresponding authors.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jc w:val="left"/>
        <w:rPr>
          <w:rFonts w:ascii="Times New Roman" w:eastAsia="仿宋" w:hAnsi="Times New Roman"/>
          <w:sz w:val="24"/>
          <w:szCs w:val="24"/>
        </w:rPr>
      </w:pPr>
      <w:r w:rsidRPr="00B61ABA">
        <w:rPr>
          <w:rFonts w:ascii="Times New Roman" w:eastAsia="仿宋" w:hAnsi="Times New Roman"/>
          <w:sz w:val="24"/>
          <w:szCs w:val="24"/>
        </w:rPr>
        <w:t xml:space="preserve">E-mail addresses: </w:t>
      </w:r>
      <w:hyperlink r:id="rId6" w:history="1">
        <w:r w:rsidRPr="00B61ABA">
          <w:rPr>
            <w:rStyle w:val="a3"/>
            <w:rFonts w:ascii="Times New Roman" w:eastAsia="仿宋" w:hAnsi="Times New Roman"/>
            <w:sz w:val="24"/>
            <w:szCs w:val="24"/>
          </w:rPr>
          <w:t>peng_wei@gzlab.ac.cn</w:t>
        </w:r>
      </w:hyperlink>
      <w:r w:rsidRPr="00B61ABA">
        <w:rPr>
          <w:rFonts w:ascii="Times New Roman" w:eastAsia="仿宋" w:hAnsi="Times New Roman"/>
          <w:sz w:val="24"/>
          <w:szCs w:val="24"/>
        </w:rPr>
        <w:t xml:space="preserve"> (</w:t>
      </w:r>
      <w:bookmarkStart w:id="2" w:name="OLE_LINK39"/>
      <w:bookmarkStart w:id="3" w:name="OLE_LINK40"/>
      <w:r w:rsidRPr="00B61ABA">
        <w:rPr>
          <w:rFonts w:ascii="Times New Roman" w:eastAsia="仿宋" w:hAnsi="Times New Roman"/>
          <w:sz w:val="24"/>
          <w:szCs w:val="24"/>
        </w:rPr>
        <w:t xml:space="preserve">Wei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Peng</w:t>
      </w:r>
      <w:bookmarkEnd w:id="2"/>
      <w:bookmarkEnd w:id="3"/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); </w:t>
      </w:r>
      <w:hyperlink r:id="rId7" w:history="1">
        <w:r w:rsidRPr="00B61ABA">
          <w:rPr>
            <w:rStyle w:val="a3"/>
            <w:rFonts w:ascii="Times New Roman" w:eastAsia="仿宋" w:hAnsi="Times New Roman"/>
            <w:sz w:val="24"/>
            <w:szCs w:val="24"/>
          </w:rPr>
          <w:t>zhang_wei2@gzlab.ac.cn</w:t>
        </w:r>
      </w:hyperlink>
      <w:r w:rsidRPr="00B61ABA">
        <w:rPr>
          <w:rFonts w:ascii="Times New Roman" w:eastAsia="仿宋" w:hAnsi="Times New Roman"/>
          <w:sz w:val="24"/>
          <w:szCs w:val="24"/>
        </w:rPr>
        <w:t xml:space="preserve"> (Wei Zhang); </w:t>
      </w:r>
      <w:hyperlink r:id="rId8" w:history="1">
        <w:r w:rsidRPr="00B61ABA">
          <w:rPr>
            <w:rStyle w:val="a3"/>
            <w:rFonts w:ascii="Times New Roman" w:eastAsia="仿宋" w:hAnsi="Times New Roman"/>
            <w:sz w:val="24"/>
            <w:szCs w:val="24"/>
          </w:rPr>
          <w:t>wei_shuai@gzlab.ac.cn</w:t>
        </w:r>
      </w:hyperlink>
      <w:r w:rsidRPr="00B61ABA">
        <w:rPr>
          <w:rFonts w:ascii="Times New Roman" w:eastAsia="仿宋" w:hAnsi="Times New Roman"/>
          <w:sz w:val="24"/>
          <w:szCs w:val="24"/>
        </w:rPr>
        <w:t xml:space="preserve"> (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Shuai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Wei); </w:t>
      </w:r>
      <w:hyperlink r:id="rId9" w:history="1">
        <w:r w:rsidRPr="00B61ABA">
          <w:rPr>
            <w:rStyle w:val="a3"/>
            <w:rFonts w:ascii="Times New Roman" w:eastAsia="仿宋" w:hAnsi="Times New Roman"/>
            <w:sz w:val="24"/>
            <w:szCs w:val="24"/>
          </w:rPr>
          <w:t>zhang_long@gzlab.ac.cn</w:t>
        </w:r>
      </w:hyperlink>
      <w:r w:rsidRPr="00B61ABA">
        <w:rPr>
          <w:rFonts w:ascii="Times New Roman" w:eastAsia="仿宋" w:hAnsi="Times New Roman"/>
          <w:sz w:val="24"/>
          <w:szCs w:val="24"/>
        </w:rPr>
        <w:t xml:space="preserve"> (</w:t>
      </w:r>
      <w:bookmarkStart w:id="4" w:name="OLE_LINK86"/>
      <w:bookmarkStart w:id="5" w:name="OLE_LINK87"/>
      <w:r w:rsidRPr="00B61ABA">
        <w:rPr>
          <w:rFonts w:ascii="Times New Roman" w:eastAsia="仿宋" w:hAnsi="Times New Roman"/>
          <w:sz w:val="24"/>
          <w:szCs w:val="24"/>
        </w:rPr>
        <w:t>Long Zhang</w:t>
      </w:r>
      <w:bookmarkEnd w:id="4"/>
      <w:bookmarkEnd w:id="5"/>
      <w:r w:rsidRPr="00B61ABA">
        <w:rPr>
          <w:rFonts w:ascii="Times New Roman" w:eastAsia="仿宋" w:hAnsi="Times New Roman"/>
          <w:sz w:val="24"/>
          <w:szCs w:val="24"/>
        </w:rPr>
        <w:t>)</w:t>
      </w:r>
    </w:p>
    <w:p w:rsidR="008C7C5B" w:rsidRPr="00B61ABA" w:rsidRDefault="008C7C5B" w:rsidP="008C7C5B">
      <w:pPr>
        <w:pStyle w:val="a4"/>
        <w:spacing w:line="360" w:lineRule="auto"/>
        <w:ind w:firstLineChars="0" w:firstLine="0"/>
        <w:jc w:val="left"/>
        <w:rPr>
          <w:rFonts w:ascii="Times New Roman" w:eastAsia="仿宋" w:hAnsi="Times New Roman"/>
          <w:sz w:val="24"/>
          <w:szCs w:val="24"/>
        </w:rPr>
      </w:pPr>
      <w:r w:rsidRPr="00B61ABA">
        <w:rPr>
          <w:rFonts w:ascii="Times New Roman" w:eastAsia="仿宋" w:hAnsi="Times New Roman"/>
          <w:sz w:val="24"/>
          <w:szCs w:val="24"/>
        </w:rPr>
        <w:t xml:space="preserve">ORCID: 0000-0002-0949-4487 (Wei 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Peng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>); 0000-0001-8693-6747 (Wei Zhang); 0009-0004-6338-1418 (</w:t>
      </w:r>
      <w:proofErr w:type="spellStart"/>
      <w:r w:rsidRPr="00B61ABA">
        <w:rPr>
          <w:rFonts w:ascii="Times New Roman" w:eastAsia="仿宋" w:hAnsi="Times New Roman"/>
          <w:sz w:val="24"/>
          <w:szCs w:val="24"/>
        </w:rPr>
        <w:t>Shuai</w:t>
      </w:r>
      <w:proofErr w:type="spellEnd"/>
      <w:r w:rsidRPr="00B61ABA">
        <w:rPr>
          <w:rFonts w:ascii="Times New Roman" w:eastAsia="仿宋" w:hAnsi="Times New Roman"/>
          <w:sz w:val="24"/>
          <w:szCs w:val="24"/>
        </w:rPr>
        <w:t xml:space="preserve"> Wei); 0009-0008-2255-1563 (Long Zhang)</w:t>
      </w:r>
    </w:p>
    <w:p w:rsidR="008C7C5B" w:rsidRDefault="008C7C5B" w:rsidP="008C7C5B">
      <w:pPr>
        <w:spacing w:line="360" w:lineRule="auto"/>
        <w:rPr>
          <w:rFonts w:ascii="Times New Roman" w:hAnsi="Times New Roman"/>
          <w:b/>
          <w:szCs w:val="21"/>
        </w:rPr>
      </w:pPr>
      <w:r w:rsidRPr="00B61ABA">
        <w:rPr>
          <w:rFonts w:ascii="Times New Roman" w:eastAsia="仿宋" w:hAnsi="Times New Roman"/>
          <w:sz w:val="24"/>
          <w:szCs w:val="24"/>
        </w:rPr>
        <w:br w:type="page"/>
      </w:r>
      <w:r w:rsidRPr="00B61ABA">
        <w:rPr>
          <w:rFonts w:ascii="Times New Roman" w:hAnsi="Times New Roman"/>
          <w:b/>
          <w:szCs w:val="21"/>
        </w:rPr>
        <w:lastRenderedPageBreak/>
        <w:t>Supplementary</w:t>
      </w:r>
      <w:r>
        <w:rPr>
          <w:rFonts w:ascii="Times New Roman" w:hAnsi="Times New Roman"/>
          <w:b/>
          <w:szCs w:val="21"/>
        </w:rPr>
        <w:t xml:space="preserve"> Materials</w:t>
      </w:r>
    </w:p>
    <w:p w:rsidR="008C7C5B" w:rsidRDefault="008C7C5B" w:rsidP="008C7C5B">
      <w:pPr>
        <w:spacing w:line="360" w:lineRule="auto"/>
        <w:rPr>
          <w:rFonts w:ascii="Times New Roman" w:hAnsi="Times New Roman"/>
          <w:b/>
          <w:szCs w:val="21"/>
        </w:rPr>
      </w:pPr>
      <w:r w:rsidRPr="00E77AC2">
        <w:rPr>
          <w:rFonts w:ascii="Times New Roman" w:hAnsi="Times New Roman"/>
          <w:b/>
          <w:noProof/>
          <w:szCs w:val="21"/>
        </w:rPr>
        <w:drawing>
          <wp:inline distT="0" distB="0" distL="0" distR="0">
            <wp:extent cx="6122670" cy="5382895"/>
            <wp:effectExtent l="0" t="0" r="0" b="8255"/>
            <wp:docPr id="7" name="图片 7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>Supplementary Fig. S1.</w:t>
      </w:r>
      <w:r w:rsidRPr="00B61ABA">
        <w:rPr>
          <w:rFonts w:ascii="Times New Roman" w:hAnsi="Times New Roman"/>
          <w:szCs w:val="21"/>
        </w:rPr>
        <w:t xml:space="preserve"> VM-874 showed high-affinity binding to representative neutralizing antibodies as determined by bio-layer interferometry. </w:t>
      </w:r>
      <w:r w:rsidRPr="00B61ABA">
        <w:rPr>
          <w:rFonts w:ascii="Times New Roman" w:hAnsi="Times New Roman"/>
          <w:b/>
          <w:szCs w:val="21"/>
        </w:rPr>
        <w:t xml:space="preserve">A </w:t>
      </w:r>
      <w:r w:rsidRPr="00B61ABA">
        <w:rPr>
          <w:rFonts w:ascii="Times New Roman" w:hAnsi="Times New Roman"/>
          <w:szCs w:val="21"/>
        </w:rPr>
        <w:t>Summary of the apparent binding kinetics of VM-874 to the indicated antibodies, including equilibrium dissociation constants (</w:t>
      </w:r>
      <w:r w:rsidRPr="009F30E0">
        <w:rPr>
          <w:rFonts w:ascii="Times New Roman" w:hAnsi="Times New Roman"/>
          <w:i/>
          <w:szCs w:val="21"/>
        </w:rPr>
        <w:t>K</w:t>
      </w:r>
      <w:r w:rsidRPr="009F30E0">
        <w:rPr>
          <w:rFonts w:ascii="Times New Roman" w:hAnsi="Times New Roman"/>
          <w:szCs w:val="21"/>
          <w:vertAlign w:val="subscript"/>
        </w:rPr>
        <w:t>D</w:t>
      </w:r>
      <w:r w:rsidRPr="00B61ABA">
        <w:rPr>
          <w:rFonts w:ascii="Times New Roman" w:hAnsi="Times New Roman"/>
          <w:szCs w:val="21"/>
        </w:rPr>
        <w:t xml:space="preserve">), association rate constants </w:t>
      </w:r>
      <w:r w:rsidRPr="009F30E0">
        <w:rPr>
          <w:rFonts w:ascii="Times New Roman" w:hAnsi="Times New Roman"/>
          <w:i/>
          <w:szCs w:val="21"/>
        </w:rPr>
        <w:t>(</w:t>
      </w:r>
      <w:proofErr w:type="spellStart"/>
      <w:r w:rsidRPr="009F30E0">
        <w:rPr>
          <w:rFonts w:ascii="Times New Roman" w:hAnsi="Times New Roman"/>
          <w:i/>
          <w:szCs w:val="21"/>
        </w:rPr>
        <w:t>K</w:t>
      </w:r>
      <w:r w:rsidRPr="00B61ABA">
        <w:rPr>
          <w:rFonts w:ascii="Times New Roman" w:hAnsi="Times New Roman"/>
          <w:szCs w:val="21"/>
        </w:rPr>
        <w:t>a</w:t>
      </w:r>
      <w:proofErr w:type="spellEnd"/>
      <w:r w:rsidRPr="00B61ABA">
        <w:rPr>
          <w:rFonts w:ascii="Times New Roman" w:hAnsi="Times New Roman"/>
          <w:szCs w:val="21"/>
        </w:rPr>
        <w:t>), and dissociation rate constants (</w:t>
      </w:r>
      <w:proofErr w:type="spellStart"/>
      <w:r w:rsidRPr="009F30E0">
        <w:rPr>
          <w:rFonts w:ascii="Times New Roman" w:hAnsi="Times New Roman"/>
          <w:i/>
          <w:szCs w:val="21"/>
        </w:rPr>
        <w:t>K</w:t>
      </w:r>
      <w:r w:rsidRPr="00B61ABA">
        <w:rPr>
          <w:rFonts w:ascii="Times New Roman" w:hAnsi="Times New Roman"/>
          <w:szCs w:val="21"/>
        </w:rPr>
        <w:t>d</w:t>
      </w:r>
      <w:proofErr w:type="spellEnd"/>
      <w:r w:rsidRPr="00B61ABA">
        <w:rPr>
          <w:rFonts w:ascii="Times New Roman" w:hAnsi="Times New Roman"/>
          <w:szCs w:val="21"/>
        </w:rPr>
        <w:t>).</w:t>
      </w:r>
      <w:r w:rsidRPr="00B61ABA">
        <w:rPr>
          <w:rFonts w:ascii="Times New Roman" w:hAnsi="Times New Roman"/>
          <w:b/>
          <w:szCs w:val="21"/>
        </w:rPr>
        <w:t xml:space="preserve"> B-D</w:t>
      </w:r>
      <w:r w:rsidRPr="00B61ABA">
        <w:rPr>
          <w:rFonts w:ascii="Times New Roman" w:hAnsi="Times New Roman"/>
          <w:szCs w:val="21"/>
        </w:rPr>
        <w:t xml:space="preserve"> Representative BLI </w:t>
      </w:r>
      <w:proofErr w:type="spellStart"/>
      <w:r w:rsidRPr="00B61ABA">
        <w:rPr>
          <w:rFonts w:ascii="Times New Roman" w:hAnsi="Times New Roman"/>
          <w:szCs w:val="21"/>
        </w:rPr>
        <w:t>sensorgrams</w:t>
      </w:r>
      <w:proofErr w:type="spellEnd"/>
      <w:r w:rsidRPr="00B61ABA">
        <w:rPr>
          <w:rFonts w:ascii="Times New Roman" w:hAnsi="Times New Roman"/>
          <w:szCs w:val="21"/>
        </w:rPr>
        <w:t xml:space="preserve"> and fitted binding curves showing the interactions of VM-874 with MPV414 (</w:t>
      </w:r>
      <w:r w:rsidRPr="00B61ABA">
        <w:rPr>
          <w:rFonts w:ascii="Times New Roman" w:hAnsi="Times New Roman"/>
          <w:b/>
          <w:szCs w:val="21"/>
        </w:rPr>
        <w:t>B</w:t>
      </w:r>
      <w:r w:rsidRPr="00B61ABA">
        <w:rPr>
          <w:rFonts w:ascii="Times New Roman" w:hAnsi="Times New Roman"/>
          <w:szCs w:val="21"/>
        </w:rPr>
        <w:t>), 101F (</w:t>
      </w:r>
      <w:r w:rsidRPr="00B61ABA">
        <w:rPr>
          <w:rFonts w:ascii="Times New Roman" w:hAnsi="Times New Roman"/>
          <w:b/>
          <w:szCs w:val="21"/>
        </w:rPr>
        <w:t>C</w:t>
      </w:r>
      <w:r w:rsidRPr="00B61ABA">
        <w:rPr>
          <w:rFonts w:ascii="Times New Roman" w:hAnsi="Times New Roman"/>
          <w:szCs w:val="21"/>
        </w:rPr>
        <w:t>), and ADI-61026 (</w:t>
      </w:r>
      <w:r w:rsidRPr="00B61ABA">
        <w:rPr>
          <w:rFonts w:ascii="Times New Roman" w:hAnsi="Times New Roman"/>
          <w:b/>
          <w:szCs w:val="21"/>
        </w:rPr>
        <w:t>D</w:t>
      </w:r>
      <w:r w:rsidRPr="00B61ABA">
        <w:rPr>
          <w:rFonts w:ascii="Times New Roman" w:hAnsi="Times New Roman"/>
          <w:szCs w:val="21"/>
        </w:rPr>
        <w:t>) at serially diluted antibody concentrations. The calculated</w:t>
      </w:r>
      <w:r w:rsidRPr="009F30E0">
        <w:rPr>
          <w:rFonts w:ascii="Times New Roman" w:hAnsi="Times New Roman"/>
          <w:i/>
          <w:szCs w:val="21"/>
        </w:rPr>
        <w:t xml:space="preserve"> K</w:t>
      </w:r>
      <w:r w:rsidRPr="009F30E0">
        <w:rPr>
          <w:rFonts w:ascii="Times New Roman" w:hAnsi="Times New Roman"/>
          <w:szCs w:val="21"/>
          <w:vertAlign w:val="subscript"/>
        </w:rPr>
        <w:t>D</w:t>
      </w:r>
      <w:r w:rsidRPr="00B61ABA">
        <w:rPr>
          <w:rFonts w:ascii="Times New Roman" w:hAnsi="Times New Roman"/>
          <w:szCs w:val="21"/>
        </w:rPr>
        <w:t xml:space="preserve"> values are indicated in each panel.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CC188C">
        <w:rPr>
          <w:rFonts w:ascii="Times New Roman" w:hAnsi="Times New Roman"/>
          <w:noProof/>
          <w:szCs w:val="21"/>
        </w:rPr>
        <w:lastRenderedPageBreak/>
        <w:drawing>
          <wp:inline distT="0" distB="0" distL="0" distR="0">
            <wp:extent cx="5367020" cy="4612005"/>
            <wp:effectExtent l="0" t="0" r="5080" b="0"/>
            <wp:docPr id="6" name="图片 6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 xml:space="preserve">Supplementary Fig. S2. </w:t>
      </w:r>
      <w:r w:rsidRPr="00B61ABA">
        <w:rPr>
          <w:rFonts w:ascii="Times New Roman" w:hAnsi="Times New Roman"/>
          <w:szCs w:val="21"/>
        </w:rPr>
        <w:t xml:space="preserve">Negative-stain TEM characterization of VM-874 particles. </w:t>
      </w:r>
      <w:r w:rsidRPr="00B61ABA">
        <w:rPr>
          <w:rFonts w:ascii="Times New Roman" w:hAnsi="Times New Roman"/>
          <w:b/>
          <w:szCs w:val="21"/>
        </w:rPr>
        <w:t>A, B</w:t>
      </w:r>
      <w:r w:rsidRPr="00B61ABA">
        <w:rPr>
          <w:rFonts w:ascii="Times New Roman" w:hAnsi="Times New Roman"/>
          <w:szCs w:val="21"/>
        </w:rPr>
        <w:t xml:space="preserve"> Representative raw TEM micrographs of purified VM-874 particles acquired at low and high magnification, showing the overall particle morphology and sample distribution. </w:t>
      </w:r>
      <w:r w:rsidRPr="00B61ABA">
        <w:rPr>
          <w:rFonts w:ascii="Times New Roman" w:hAnsi="Times New Roman"/>
          <w:b/>
          <w:szCs w:val="21"/>
        </w:rPr>
        <w:t>C, D</w:t>
      </w:r>
      <w:r w:rsidRPr="00B61ABA">
        <w:rPr>
          <w:rFonts w:ascii="Times New Roman" w:hAnsi="Times New Roman"/>
          <w:szCs w:val="21"/>
        </w:rPr>
        <w:t xml:space="preserve"> Representative raw and </w:t>
      </w:r>
      <w:proofErr w:type="spellStart"/>
      <w:r w:rsidRPr="00B61ABA">
        <w:rPr>
          <w:rFonts w:ascii="Times New Roman" w:hAnsi="Times New Roman"/>
          <w:szCs w:val="21"/>
        </w:rPr>
        <w:t>denoised</w:t>
      </w:r>
      <w:proofErr w:type="spellEnd"/>
      <w:r w:rsidRPr="00B61ABA">
        <w:rPr>
          <w:rFonts w:ascii="Times New Roman" w:hAnsi="Times New Roman"/>
          <w:szCs w:val="21"/>
        </w:rPr>
        <w:t xml:space="preserve"> micrographs of VM-874 particles processed using the </w:t>
      </w:r>
      <w:proofErr w:type="spellStart"/>
      <w:r w:rsidRPr="00B61ABA">
        <w:rPr>
          <w:rFonts w:ascii="Times New Roman" w:hAnsi="Times New Roman"/>
          <w:szCs w:val="21"/>
        </w:rPr>
        <w:t>cryoSPARC</w:t>
      </w:r>
      <w:proofErr w:type="spellEnd"/>
      <w:r w:rsidRPr="00B61ABA">
        <w:rPr>
          <w:rFonts w:ascii="Times New Roman" w:hAnsi="Times New Roman"/>
          <w:szCs w:val="21"/>
        </w:rPr>
        <w:t xml:space="preserve"> Micrograph </w:t>
      </w:r>
      <w:proofErr w:type="spellStart"/>
      <w:r w:rsidRPr="00B61ABA">
        <w:rPr>
          <w:rFonts w:ascii="Times New Roman" w:hAnsi="Times New Roman"/>
          <w:szCs w:val="21"/>
        </w:rPr>
        <w:t>Denoiser</w:t>
      </w:r>
      <w:proofErr w:type="spellEnd"/>
      <w:r w:rsidRPr="00B61ABA">
        <w:rPr>
          <w:rFonts w:ascii="Times New Roman" w:hAnsi="Times New Roman"/>
          <w:szCs w:val="21"/>
        </w:rPr>
        <w:t xml:space="preserve">. Imaging parameters, including magnification, accelerating voltage, pixel size, defocus, and scale bars, are indicated in each micrograph. Scale bars, 100 nm in </w:t>
      </w:r>
      <w:r>
        <w:rPr>
          <w:rFonts w:ascii="Times New Roman" w:hAnsi="Times New Roman"/>
          <w:szCs w:val="21"/>
        </w:rPr>
        <w:t xml:space="preserve">panel </w:t>
      </w:r>
      <w:r w:rsidRPr="00EE5363">
        <w:rPr>
          <w:rFonts w:ascii="Times New Roman" w:hAnsi="Times New Roman"/>
          <w:b/>
          <w:szCs w:val="21"/>
        </w:rPr>
        <w:t xml:space="preserve">A </w:t>
      </w:r>
      <w:r w:rsidRPr="00B61ABA">
        <w:rPr>
          <w:rFonts w:ascii="Times New Roman" w:hAnsi="Times New Roman"/>
          <w:szCs w:val="21"/>
        </w:rPr>
        <w:t xml:space="preserve">and 50 nm in </w:t>
      </w:r>
      <w:r>
        <w:rPr>
          <w:rFonts w:ascii="Times New Roman" w:hAnsi="Times New Roman"/>
          <w:szCs w:val="21"/>
        </w:rPr>
        <w:t>panel</w:t>
      </w:r>
      <w:r w:rsidRPr="00EE5363">
        <w:rPr>
          <w:rFonts w:ascii="Times New Roman" w:hAnsi="Times New Roman"/>
          <w:b/>
          <w:szCs w:val="21"/>
        </w:rPr>
        <w:t xml:space="preserve"> B</w:t>
      </w:r>
      <w:r w:rsidRPr="00B61ABA">
        <w:rPr>
          <w:rFonts w:ascii="Times New Roman" w:hAnsi="Times New Roman"/>
          <w:szCs w:val="21"/>
        </w:rPr>
        <w:t>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CC188C">
        <w:rPr>
          <w:rFonts w:ascii="Times New Roman" w:hAnsi="Times New Roman"/>
          <w:noProof/>
          <w:szCs w:val="21"/>
        </w:rPr>
        <w:lastRenderedPageBreak/>
        <w:drawing>
          <wp:inline distT="0" distB="0" distL="0" distR="0">
            <wp:extent cx="5828030" cy="5311775"/>
            <wp:effectExtent l="0" t="0" r="1270" b="3175"/>
            <wp:docPr id="5" name="图片 5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>Supplementary Fig. S3.</w:t>
      </w:r>
      <w:r w:rsidRPr="00B61ABA">
        <w:rPr>
          <w:rFonts w:ascii="Times New Roman" w:hAnsi="Times New Roman"/>
          <w:szCs w:val="21"/>
        </w:rPr>
        <w:t xml:space="preserve"> Heat-stress assessment of pre-fusion epitope integrity of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antigens by ELISA. </w:t>
      </w:r>
      <w:r w:rsidRPr="00B25506">
        <w:rPr>
          <w:rFonts w:ascii="Times New Roman" w:hAnsi="Times New Roman"/>
          <w:b/>
          <w:szCs w:val="21"/>
        </w:rPr>
        <w:t>A</w:t>
      </w:r>
      <w:r w:rsidR="00B25506">
        <w:rPr>
          <w:rFonts w:ascii="STIXGeneral" w:hAnsi="STIXGeneral"/>
          <w:color w:val="222222"/>
          <w:shd w:val="clear" w:color="auto" w:fill="FFFFFF"/>
        </w:rPr>
        <w:t>–</w:t>
      </w:r>
      <w:r w:rsidRPr="00B25506">
        <w:rPr>
          <w:rFonts w:ascii="Times New Roman" w:hAnsi="Times New Roman"/>
          <w:b/>
          <w:szCs w:val="21"/>
        </w:rPr>
        <w:t>C</w:t>
      </w:r>
      <w:r w:rsidRPr="00B61ABA">
        <w:rPr>
          <w:rFonts w:ascii="Times New Roman" w:hAnsi="Times New Roman"/>
          <w:szCs w:val="21"/>
        </w:rPr>
        <w:t xml:space="preserve"> ELISA binding curves of the indicated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antigens (VM-874, WT-F, and v3B_Δ12 D454C/V458C) after heat treatment, as measured using the antibodies 101F (</w:t>
      </w:r>
      <w:r w:rsidRPr="00B61ABA">
        <w:rPr>
          <w:rFonts w:ascii="Times New Roman" w:hAnsi="Times New Roman"/>
          <w:b/>
          <w:szCs w:val="21"/>
        </w:rPr>
        <w:t>A</w:t>
      </w:r>
      <w:r w:rsidRPr="00B61ABA">
        <w:rPr>
          <w:rFonts w:ascii="Times New Roman" w:hAnsi="Times New Roman"/>
          <w:szCs w:val="21"/>
        </w:rPr>
        <w:t>), ADI-61026 (</w:t>
      </w:r>
      <w:r w:rsidRPr="00B61ABA">
        <w:rPr>
          <w:rFonts w:ascii="Times New Roman" w:hAnsi="Times New Roman"/>
          <w:b/>
          <w:szCs w:val="21"/>
        </w:rPr>
        <w:t>B</w:t>
      </w:r>
      <w:r w:rsidRPr="00B61ABA">
        <w:rPr>
          <w:rFonts w:ascii="Times New Roman" w:hAnsi="Times New Roman"/>
          <w:szCs w:val="21"/>
        </w:rPr>
        <w:t>), and MPV414 (</w:t>
      </w:r>
      <w:r w:rsidRPr="00B61ABA">
        <w:rPr>
          <w:rFonts w:ascii="Times New Roman" w:hAnsi="Times New Roman"/>
          <w:b/>
          <w:szCs w:val="21"/>
        </w:rPr>
        <w:t>C</w:t>
      </w:r>
      <w:r w:rsidRPr="00B61ABA">
        <w:rPr>
          <w:rFonts w:ascii="Times New Roman" w:hAnsi="Times New Roman"/>
          <w:szCs w:val="21"/>
        </w:rPr>
        <w:t>). Proteins were left untreated or incubated at 65 °C or 70 °C for 30 min prior to analysis. Binding is shown as OD</w:t>
      </w:r>
      <w:r w:rsidRPr="00B61ABA">
        <w:rPr>
          <w:rFonts w:ascii="Times New Roman" w:hAnsi="Times New Roman"/>
          <w:szCs w:val="21"/>
          <w:vertAlign w:val="subscript"/>
        </w:rPr>
        <w:t>450</w:t>
      </w:r>
      <w:proofErr w:type="gramStart"/>
      <w:r w:rsidRPr="00B61ABA">
        <w:rPr>
          <w:rFonts w:ascii="Times New Roman" w:hAnsi="Times New Roman"/>
          <w:szCs w:val="21"/>
        </w:rPr>
        <w:t>​ plotted</w:t>
      </w:r>
      <w:proofErr w:type="gramEnd"/>
      <w:r w:rsidRPr="00B61ABA">
        <w:rPr>
          <w:rFonts w:ascii="Times New Roman" w:hAnsi="Times New Roman"/>
          <w:szCs w:val="21"/>
        </w:rPr>
        <w:t xml:space="preserve"> against antibody concentration.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CC188C">
        <w:rPr>
          <w:rFonts w:ascii="Times New Roman" w:hAnsi="Times New Roman"/>
          <w:noProof/>
          <w:szCs w:val="21"/>
        </w:rPr>
        <w:lastRenderedPageBreak/>
        <w:drawing>
          <wp:inline distT="0" distB="0" distL="0" distR="0">
            <wp:extent cx="5756910" cy="5255895"/>
            <wp:effectExtent l="0" t="0" r="0" b="1905"/>
            <wp:docPr id="4" name="图片 4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2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>Supplementary Fig. S4.</w:t>
      </w:r>
      <w:r w:rsidRPr="00B61ABA">
        <w:rPr>
          <w:rFonts w:ascii="Times New Roman" w:hAnsi="Times New Roman"/>
          <w:szCs w:val="21"/>
        </w:rPr>
        <w:t xml:space="preserve"> Cold-storage stability of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antigens assessed by ELISA. </w:t>
      </w:r>
      <w:r w:rsidRPr="00B25506">
        <w:rPr>
          <w:rFonts w:ascii="Times New Roman" w:hAnsi="Times New Roman"/>
          <w:b/>
          <w:szCs w:val="21"/>
        </w:rPr>
        <w:t>A</w:t>
      </w:r>
      <w:r w:rsidR="00B25506">
        <w:rPr>
          <w:rFonts w:ascii="STIXGeneral" w:hAnsi="STIXGeneral"/>
          <w:color w:val="222222"/>
          <w:shd w:val="clear" w:color="auto" w:fill="FFFFFF"/>
        </w:rPr>
        <w:t>–</w:t>
      </w:r>
      <w:r w:rsidRPr="00B25506">
        <w:rPr>
          <w:rFonts w:ascii="Times New Roman" w:hAnsi="Times New Roman"/>
          <w:b/>
          <w:szCs w:val="21"/>
        </w:rPr>
        <w:t xml:space="preserve">C </w:t>
      </w:r>
      <w:r w:rsidRPr="00B61ABA">
        <w:rPr>
          <w:rFonts w:ascii="Times New Roman" w:hAnsi="Times New Roman"/>
          <w:szCs w:val="21"/>
        </w:rPr>
        <w:t xml:space="preserve">ELISA binding curves of the indicated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antigens (VM-874, WT-F, and v3B_Δ12 D454C/V458C) after storage at 4 °C for 7 days or 21 days, as measured using the antibodies ADI-61026 (</w:t>
      </w:r>
      <w:r w:rsidRPr="00B61ABA">
        <w:rPr>
          <w:rFonts w:ascii="Times New Roman" w:hAnsi="Times New Roman"/>
          <w:b/>
          <w:szCs w:val="21"/>
        </w:rPr>
        <w:t>A</w:t>
      </w:r>
      <w:r w:rsidRPr="00B61ABA">
        <w:rPr>
          <w:rFonts w:ascii="Times New Roman" w:hAnsi="Times New Roman"/>
          <w:szCs w:val="21"/>
        </w:rPr>
        <w:t>), MPV414 (</w:t>
      </w:r>
      <w:r w:rsidRPr="00B61ABA">
        <w:rPr>
          <w:rFonts w:ascii="Times New Roman" w:hAnsi="Times New Roman"/>
          <w:b/>
          <w:szCs w:val="21"/>
        </w:rPr>
        <w:t>B</w:t>
      </w:r>
      <w:r w:rsidRPr="00B61ABA">
        <w:rPr>
          <w:rFonts w:ascii="Times New Roman" w:hAnsi="Times New Roman"/>
          <w:szCs w:val="21"/>
        </w:rPr>
        <w:t>), and 101F (</w:t>
      </w:r>
      <w:r w:rsidRPr="00B61ABA">
        <w:rPr>
          <w:rFonts w:ascii="Times New Roman" w:hAnsi="Times New Roman"/>
          <w:b/>
          <w:szCs w:val="21"/>
        </w:rPr>
        <w:t>C</w:t>
      </w:r>
      <w:r w:rsidRPr="00B61ABA">
        <w:rPr>
          <w:rFonts w:ascii="Times New Roman" w:hAnsi="Times New Roman"/>
          <w:szCs w:val="21"/>
        </w:rPr>
        <w:t>). Untreated proteins were included as controls. Binding is shown as OD</w:t>
      </w:r>
      <w:r w:rsidRPr="00B61ABA">
        <w:rPr>
          <w:rFonts w:ascii="Times New Roman" w:hAnsi="Times New Roman"/>
          <w:szCs w:val="21"/>
          <w:vertAlign w:val="subscript"/>
        </w:rPr>
        <w:t>450</w:t>
      </w:r>
      <w:r w:rsidRPr="00B61ABA">
        <w:rPr>
          <w:rFonts w:ascii="Times New Roman" w:hAnsi="Times New Roman"/>
          <w:szCs w:val="21"/>
        </w:rPr>
        <w:t xml:space="preserve"> plotted against antibody concentration. The comparable binding profiles after cold storage indicate that the antigenic integrity of the tested pre-F epitopes was largely maintained under these conditions.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8C7C5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C7283B" w:rsidRPr="00C7283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157730" cy="2576830"/>
            <wp:effectExtent l="0" t="0" r="0" b="0"/>
            <wp:docPr id="9" name="图片 9" descr="E:\VS 稿件\2026 publication\2026 Issue 4\7436-\7436 R2\VS7436 to prod\VS7436 Supplementary_Fig.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VS 稿件\2026 publication\2026 Issue 4\7436-\7436 R2\VS7436 to prod\VS7436 Supplementary_Fig._5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 xml:space="preserve">Supplementary Fig. S5. </w:t>
      </w:r>
      <w:r w:rsidRPr="00B61ABA">
        <w:rPr>
          <w:rFonts w:ascii="Times New Roman" w:hAnsi="Times New Roman"/>
          <w:szCs w:val="21"/>
        </w:rPr>
        <w:t xml:space="preserve">VM-874 induces a pre-F–biased serum </w:t>
      </w:r>
      <w:proofErr w:type="spellStart"/>
      <w:r w:rsidRPr="00B61ABA">
        <w:rPr>
          <w:rFonts w:ascii="Times New Roman" w:hAnsi="Times New Roman"/>
          <w:szCs w:val="21"/>
        </w:rPr>
        <w:t>IgG</w:t>
      </w:r>
      <w:proofErr w:type="spellEnd"/>
      <w:r w:rsidRPr="00B61ABA">
        <w:rPr>
          <w:rFonts w:ascii="Times New Roman" w:hAnsi="Times New Roman"/>
          <w:szCs w:val="21"/>
        </w:rPr>
        <w:t xml:space="preserve"> binding response. </w:t>
      </w:r>
      <w:r w:rsidR="00B25506">
        <w:rPr>
          <w:rFonts w:ascii="Times New Roman" w:hAnsi="Times New Roman" w:cs="Times New Roman"/>
          <w:color w:val="222222"/>
          <w:shd w:val="clear" w:color="auto" w:fill="FFFFFF"/>
        </w:rPr>
        <w:t>Six- to eight-week-old BALB/c m</w:t>
      </w:r>
      <w:r w:rsidR="00B25506" w:rsidRPr="00B25506">
        <w:rPr>
          <w:rFonts w:ascii="Times New Roman" w:hAnsi="Times New Roman"/>
          <w:szCs w:val="21"/>
        </w:rPr>
        <w:t>ice were intramuscularly immunized with 5</w:t>
      </w:r>
      <w:proofErr w:type="gramStart"/>
      <w:r w:rsidR="00B25506" w:rsidRPr="00B25506">
        <w:rPr>
          <w:rFonts w:ascii="Times New Roman" w:hAnsi="Times New Roman"/>
          <w:szCs w:val="21"/>
        </w:rPr>
        <w:t> ​</w:t>
      </w:r>
      <w:proofErr w:type="spellStart"/>
      <w:r w:rsidR="00B25506" w:rsidRPr="00B25506">
        <w:rPr>
          <w:rFonts w:ascii="Times New Roman" w:hAnsi="Times New Roman"/>
          <w:szCs w:val="21"/>
        </w:rPr>
        <w:t>μg</w:t>
      </w:r>
      <w:proofErr w:type="spellEnd"/>
      <w:proofErr w:type="gramEnd"/>
      <w:r w:rsidR="00B25506" w:rsidRPr="00B25506">
        <w:rPr>
          <w:rFonts w:ascii="Times New Roman" w:hAnsi="Times New Roman"/>
          <w:szCs w:val="21"/>
        </w:rPr>
        <w:t xml:space="preserve"> of VM-874, post-F, or v3B_Δ12 D454C/V458C formulated with 50 ​</w:t>
      </w:r>
      <w:proofErr w:type="spellStart"/>
      <w:r w:rsidR="00B25506" w:rsidRPr="00B25506">
        <w:rPr>
          <w:rFonts w:ascii="Times New Roman" w:hAnsi="Times New Roman"/>
          <w:szCs w:val="21"/>
        </w:rPr>
        <w:t>μg</w:t>
      </w:r>
      <w:proofErr w:type="spellEnd"/>
      <w:r w:rsidR="00B25506" w:rsidRPr="00B25506">
        <w:rPr>
          <w:rFonts w:ascii="Times New Roman" w:hAnsi="Times New Roman"/>
          <w:szCs w:val="21"/>
        </w:rPr>
        <w:t xml:space="preserve"> of aluminum hydroxide adjuvant, while control mice received adjuvant alone. A prime immunization was administered at week 0, followed by a booster immunization 3 weeks later. </w:t>
      </w:r>
      <w:r w:rsidRPr="00B61ABA">
        <w:rPr>
          <w:rFonts w:ascii="Times New Roman" w:hAnsi="Times New Roman"/>
          <w:szCs w:val="21"/>
        </w:rPr>
        <w:t xml:space="preserve">Mouse sera collected 2 weeks after the final immunization were analyzed by ELISA for </w:t>
      </w:r>
      <w:proofErr w:type="spellStart"/>
      <w:r w:rsidRPr="00B61ABA">
        <w:rPr>
          <w:rFonts w:ascii="Times New Roman" w:hAnsi="Times New Roman"/>
          <w:szCs w:val="21"/>
        </w:rPr>
        <w:t>IgG</w:t>
      </w:r>
      <w:proofErr w:type="spellEnd"/>
      <w:r w:rsidRPr="00B61ABA">
        <w:rPr>
          <w:rFonts w:ascii="Times New Roman" w:hAnsi="Times New Roman"/>
          <w:szCs w:val="21"/>
        </w:rPr>
        <w:t xml:space="preserve"> binding to pre-F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 v3B_Δ12 D454C/V458C and post-F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F antigen. The pre-F/post-F binding </w:t>
      </w:r>
      <w:proofErr w:type="spellStart"/>
      <w:r w:rsidRPr="00B61ABA">
        <w:rPr>
          <w:rFonts w:ascii="Times New Roman" w:hAnsi="Times New Roman"/>
          <w:szCs w:val="21"/>
        </w:rPr>
        <w:t>IgG</w:t>
      </w:r>
      <w:proofErr w:type="spellEnd"/>
      <w:r w:rsidRPr="00B61ABA">
        <w:rPr>
          <w:rFonts w:ascii="Times New Roman" w:hAnsi="Times New Roman"/>
          <w:szCs w:val="21"/>
        </w:rPr>
        <w:t xml:space="preserve"> ratio was calculated to evaluate the conformational preference of serum antibodies. VM-874 immunization induced a significantly higher pre-F/post-F binding </w:t>
      </w:r>
      <w:proofErr w:type="spellStart"/>
      <w:r w:rsidRPr="00B61ABA">
        <w:rPr>
          <w:rFonts w:ascii="Times New Roman" w:hAnsi="Times New Roman"/>
          <w:szCs w:val="21"/>
        </w:rPr>
        <w:t>IgG</w:t>
      </w:r>
      <w:proofErr w:type="spellEnd"/>
      <w:r w:rsidRPr="00B61ABA">
        <w:rPr>
          <w:rFonts w:ascii="Times New Roman" w:hAnsi="Times New Roman"/>
          <w:szCs w:val="21"/>
        </w:rPr>
        <w:t xml:space="preserve"> ratio than post-F immunization, indicating a more pre-F–oriented antibody response. The ratio induced by VM-874 was numerically higher than that induced by v3B_Δ12 D454C/V458C, but the difference was not statistically significant. Each symbol represents an individual mouse; bars and error bars indicate the mean and dispersion within each group. Statistical significance was determined by one-way ANOVA with correction for multiple comparisons. </w:t>
      </w:r>
      <w:proofErr w:type="gramStart"/>
      <w:r w:rsidRPr="00B61ABA">
        <w:rPr>
          <w:rFonts w:ascii="Times New Roman" w:hAnsi="Times New Roman"/>
          <w:szCs w:val="21"/>
        </w:rPr>
        <w:t>ns</w:t>
      </w:r>
      <w:proofErr w:type="gramEnd"/>
      <w:r w:rsidRPr="00B61ABA">
        <w:rPr>
          <w:rFonts w:ascii="Times New Roman" w:hAnsi="Times New Roman"/>
          <w:szCs w:val="21"/>
        </w:rPr>
        <w:t>, not significant; **</w:t>
      </w:r>
      <w:r w:rsidRPr="00B61ABA">
        <w:rPr>
          <w:rFonts w:ascii="Times New Roman" w:hAnsi="Times New Roman"/>
          <w:i/>
          <w:szCs w:val="21"/>
        </w:rPr>
        <w:t xml:space="preserve">P </w:t>
      </w:r>
      <w:r w:rsidRPr="00B61ABA">
        <w:rPr>
          <w:rFonts w:ascii="Times New Roman" w:hAnsi="Times New Roman"/>
          <w:szCs w:val="21"/>
        </w:rPr>
        <w:t>&lt; 0.01; n = 5.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CC188C">
        <w:rPr>
          <w:rFonts w:ascii="Times New Roman" w:hAnsi="Times New Roman"/>
          <w:noProof/>
          <w:szCs w:val="21"/>
        </w:rPr>
        <w:lastRenderedPageBreak/>
        <w:drawing>
          <wp:inline distT="0" distB="0" distL="0" distR="0">
            <wp:extent cx="5168265" cy="6090920"/>
            <wp:effectExtent l="0" t="0" r="0" b="5080"/>
            <wp:docPr id="2" name="图片 2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6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 xml:space="preserve">Supplementary Fig. S6. </w:t>
      </w:r>
      <w:r w:rsidR="00B25506" w:rsidRPr="00B61ABA">
        <w:rPr>
          <w:rFonts w:ascii="Times New Roman" w:hAnsi="Times New Roman"/>
          <w:szCs w:val="21"/>
        </w:rPr>
        <w:t xml:space="preserve">BALB/c mice serum neutralizing antibody titers against </w:t>
      </w:r>
      <w:proofErr w:type="spellStart"/>
      <w:r w:rsidR="00B25506" w:rsidRPr="00B61ABA">
        <w:rPr>
          <w:rFonts w:ascii="Times New Roman" w:hAnsi="Times New Roman"/>
          <w:szCs w:val="21"/>
        </w:rPr>
        <w:t>hMPV</w:t>
      </w:r>
      <w:proofErr w:type="spellEnd"/>
      <w:r w:rsidR="00B25506" w:rsidRPr="00B61ABA">
        <w:rPr>
          <w:rFonts w:ascii="Times New Roman" w:hAnsi="Times New Roman"/>
          <w:szCs w:val="21"/>
        </w:rPr>
        <w:t xml:space="preserve"> subtype A2 measured by focus reduction neutralization test (FRNT</w:t>
      </w:r>
      <w:r w:rsidR="00B25506" w:rsidRPr="00B61ABA">
        <w:rPr>
          <w:rFonts w:ascii="Times New Roman" w:hAnsi="Times New Roman"/>
          <w:szCs w:val="21"/>
          <w:vertAlign w:val="subscript"/>
        </w:rPr>
        <w:t>50</w:t>
      </w:r>
      <w:r w:rsidR="00B25506" w:rsidRPr="00B61ABA">
        <w:rPr>
          <w:rFonts w:ascii="Times New Roman" w:hAnsi="Times New Roman"/>
          <w:szCs w:val="21"/>
        </w:rPr>
        <w:t>)</w:t>
      </w:r>
      <w:r w:rsidR="008A5A66" w:rsidRPr="00B61ABA">
        <w:rPr>
          <w:rFonts w:ascii="Times New Roman" w:hAnsi="Times New Roman"/>
          <w:szCs w:val="21"/>
        </w:rPr>
        <w:t>, indicating induction of functional neutralization</w:t>
      </w:r>
      <w:r w:rsidR="00B25506">
        <w:rPr>
          <w:rFonts w:ascii="Times New Roman" w:hAnsi="Times New Roman"/>
          <w:szCs w:val="21"/>
        </w:rPr>
        <w:t xml:space="preserve">. </w:t>
      </w:r>
      <w:r w:rsidR="00B25506">
        <w:rPr>
          <w:rFonts w:ascii="Times New Roman" w:hAnsi="Times New Roman" w:cs="Times New Roman"/>
          <w:color w:val="222222"/>
          <w:shd w:val="clear" w:color="auto" w:fill="FFFFFF"/>
        </w:rPr>
        <w:t>Six- to eight-week-old BALB/c m</w:t>
      </w:r>
      <w:r w:rsidR="00B25506" w:rsidRPr="00B25506">
        <w:rPr>
          <w:rFonts w:ascii="Times New Roman" w:hAnsi="Times New Roman"/>
          <w:szCs w:val="21"/>
        </w:rPr>
        <w:t>ice were intramuscularly immunized with 5 ​</w:t>
      </w:r>
      <w:proofErr w:type="spellStart"/>
      <w:r w:rsidR="00B25506" w:rsidRPr="00B25506">
        <w:rPr>
          <w:rFonts w:ascii="Times New Roman" w:hAnsi="Times New Roman"/>
          <w:szCs w:val="21"/>
        </w:rPr>
        <w:t>μg</w:t>
      </w:r>
      <w:proofErr w:type="spellEnd"/>
      <w:r w:rsidR="00B25506" w:rsidRPr="00B25506">
        <w:rPr>
          <w:rFonts w:ascii="Times New Roman" w:hAnsi="Times New Roman"/>
          <w:szCs w:val="21"/>
        </w:rPr>
        <w:t xml:space="preserve"> of VM-874, post-F, or v3B_Δ12 D454C/V458C formulated with 50 ​</w:t>
      </w:r>
      <w:proofErr w:type="spellStart"/>
      <w:r w:rsidR="00B25506" w:rsidRPr="00B25506">
        <w:rPr>
          <w:rFonts w:ascii="Times New Roman" w:hAnsi="Times New Roman"/>
          <w:szCs w:val="21"/>
        </w:rPr>
        <w:t>μg</w:t>
      </w:r>
      <w:proofErr w:type="spellEnd"/>
      <w:r w:rsidR="00B25506" w:rsidRPr="00B25506">
        <w:rPr>
          <w:rFonts w:ascii="Times New Roman" w:hAnsi="Times New Roman"/>
          <w:szCs w:val="21"/>
        </w:rPr>
        <w:t xml:space="preserve"> of aluminum hydroxide adjuvant, while control mice received adjuvant alone. A prime immunization was administered at week 0, followed by a booster immunization 3 weeks later. </w:t>
      </w:r>
      <w:r w:rsidR="00B25506">
        <w:rPr>
          <w:rFonts w:ascii="Times New Roman" w:hAnsi="Times New Roman" w:cs="Times New Roman"/>
          <w:color w:val="222222"/>
          <w:shd w:val="clear" w:color="auto" w:fill="FFFFFF"/>
        </w:rPr>
        <w:t xml:space="preserve">Serum samples were </w:t>
      </w:r>
      <w:bookmarkStart w:id="6" w:name="_GoBack"/>
      <w:bookmarkEnd w:id="6"/>
      <w:r w:rsidR="009D3B0B" w:rsidRPr="009D3B0B">
        <w:rPr>
          <w:rFonts w:ascii="Times New Roman" w:hAnsi="Times New Roman"/>
          <w:szCs w:val="21"/>
        </w:rPr>
        <w:t>collected 2 weeks after the final immunization ​and</w:t>
      </w:r>
      <w:r w:rsidR="009D3B0B" w:rsidRPr="009D3B0B">
        <w:rPr>
          <w:rFonts w:ascii="Times New Roman" w:hAnsi="Times New Roman"/>
          <w:szCs w:val="21"/>
        </w:rPr>
        <w:t xml:space="preserve"> </w:t>
      </w:r>
      <w:r w:rsidR="00B25506" w:rsidRPr="009D3B0B">
        <w:rPr>
          <w:rFonts w:ascii="Times New Roman" w:hAnsi="Times New Roman"/>
          <w:szCs w:val="21"/>
        </w:rPr>
        <w:t>serially diluted in DMEM (starting with an</w:t>
      </w:r>
      <w:r w:rsidR="00B25506">
        <w:rPr>
          <w:rFonts w:ascii="Times New Roman" w:hAnsi="Times New Roman" w:cs="Times New Roman"/>
          <w:color w:val="222222"/>
          <w:shd w:val="clear" w:color="auto" w:fill="FFFFFF"/>
        </w:rPr>
        <w:t xml:space="preserve"> initial 1:20 dilution, followed by 3-fold serial dilutions) and mixed with an equal volume of </w:t>
      </w:r>
      <w:proofErr w:type="spellStart"/>
      <w:r w:rsidR="00B25506">
        <w:rPr>
          <w:rFonts w:ascii="Times New Roman" w:hAnsi="Times New Roman" w:cs="Times New Roman"/>
          <w:color w:val="222222"/>
          <w:shd w:val="clear" w:color="auto" w:fill="FFFFFF"/>
        </w:rPr>
        <w:t>hMPV</w:t>
      </w:r>
      <w:proofErr w:type="spellEnd"/>
      <w:r w:rsidR="00B25506">
        <w:rPr>
          <w:rFonts w:ascii="Times New Roman" w:hAnsi="Times New Roman" w:cs="Times New Roman"/>
          <w:color w:val="222222"/>
          <w:shd w:val="clear" w:color="auto" w:fill="FFFFFF"/>
        </w:rPr>
        <w:t xml:space="preserve"> A2 </w:t>
      </w:r>
      <w:r w:rsidR="008A5A66">
        <w:rPr>
          <w:rFonts w:ascii="Times New Roman" w:hAnsi="Times New Roman" w:cs="Times New Roman"/>
          <w:color w:val="222222"/>
          <w:shd w:val="clear" w:color="auto" w:fill="FFFFFF"/>
        </w:rPr>
        <w:t>(MOI= 0.2). After incubation at 37</w:t>
      </w:r>
      <w:proofErr w:type="gramStart"/>
      <w:r w:rsidR="008A5A66">
        <w:rPr>
          <w:color w:val="222222"/>
          <w:shd w:val="clear" w:color="auto" w:fill="FFFFFF"/>
        </w:rPr>
        <w:t> ​°</w:t>
      </w:r>
      <w:proofErr w:type="gramEnd"/>
      <w:r w:rsidR="008A5A66">
        <w:rPr>
          <w:rFonts w:ascii="Times New Roman" w:hAnsi="Times New Roman" w:cs="Times New Roman"/>
          <w:color w:val="222222"/>
          <w:shd w:val="clear" w:color="auto" w:fill="FFFFFF"/>
        </w:rPr>
        <w:t>C for 1</w:t>
      </w:r>
      <w:r w:rsidR="008A5A66">
        <w:rPr>
          <w:color w:val="222222"/>
          <w:shd w:val="clear" w:color="auto" w:fill="FFFFFF"/>
        </w:rPr>
        <w:t> ​</w:t>
      </w:r>
      <w:r w:rsidR="008A5A66">
        <w:rPr>
          <w:rFonts w:ascii="Times New Roman" w:hAnsi="Times New Roman" w:cs="Times New Roman"/>
          <w:color w:val="222222"/>
          <w:shd w:val="clear" w:color="auto" w:fill="FFFFFF"/>
        </w:rPr>
        <w:t>h, the serum-virus mixtures were added to BHK-21 monolayers. FRNT</w:t>
      </w:r>
      <w:r w:rsidR="008A5A66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  <w:vertAlign w:val="subscript"/>
        </w:rPr>
        <w:t>50</w:t>
      </w:r>
      <w:r w:rsidR="008A5A66">
        <w:rPr>
          <w:rFonts w:ascii="Times New Roman" w:hAnsi="Times New Roman" w:cs="Times New Roman"/>
          <w:color w:val="222222"/>
          <w:shd w:val="clear" w:color="auto" w:fill="FFFFFF"/>
        </w:rPr>
        <w:t> was defined as the reciprocal serum dilution that reduced fluorescent focus counts by 50% relative to virus-only controls. S</w:t>
      </w:r>
      <w:r w:rsidR="00B25506" w:rsidRPr="00B61ABA">
        <w:rPr>
          <w:rFonts w:ascii="Times New Roman" w:hAnsi="Times New Roman"/>
          <w:szCs w:val="21"/>
        </w:rPr>
        <w:t>cale bar = 1 mm.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CC188C">
        <w:rPr>
          <w:rFonts w:ascii="Times New Roman" w:hAnsi="Times New Roman"/>
          <w:noProof/>
          <w:szCs w:val="21"/>
        </w:rPr>
        <w:drawing>
          <wp:inline distT="0" distB="0" distL="0" distR="0">
            <wp:extent cx="3617595" cy="1987550"/>
            <wp:effectExtent l="0" t="0" r="1905" b="0"/>
            <wp:docPr id="1" name="图片 1" descr="VS7436 Supplementary_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S7436 Supplementary_Fi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B61ABA">
        <w:rPr>
          <w:rFonts w:ascii="Times New Roman" w:hAnsi="Times New Roman"/>
          <w:b/>
          <w:szCs w:val="21"/>
        </w:rPr>
        <w:t>Supplementary Fig. S7.</w:t>
      </w:r>
      <w:r w:rsidRPr="00B61ABA">
        <w:rPr>
          <w:rFonts w:ascii="Times New Roman" w:hAnsi="Times New Roman"/>
          <w:szCs w:val="21"/>
        </w:rPr>
        <w:t xml:space="preserve"> Quantification of lung granulocyte </w:t>
      </w:r>
      <w:bookmarkStart w:id="7" w:name="OLE_LINK1"/>
      <w:r w:rsidRPr="00B61ABA">
        <w:rPr>
          <w:rFonts w:ascii="Times New Roman" w:hAnsi="Times New Roman"/>
          <w:szCs w:val="21"/>
        </w:rPr>
        <w:t>infiltration</w:t>
      </w:r>
      <w:bookmarkEnd w:id="7"/>
      <w:r w:rsidR="00C32C44">
        <w:rPr>
          <w:rFonts w:ascii="Times New Roman" w:hAnsi="Times New Roman"/>
          <w:szCs w:val="21"/>
        </w:rPr>
        <w:t xml:space="preserve"> in </w:t>
      </w:r>
      <w:r w:rsidR="00C32C44">
        <w:rPr>
          <w:rFonts w:ascii="Times New Roman" w:hAnsi="Times New Roman" w:cs="Times New Roman"/>
          <w:color w:val="222222"/>
          <w:shd w:val="clear" w:color="auto" w:fill="FFFFFF"/>
        </w:rPr>
        <w:t>BALB/c mice</w:t>
      </w:r>
      <w:r w:rsidRPr="00B61ABA">
        <w:rPr>
          <w:rFonts w:ascii="Times New Roman" w:hAnsi="Times New Roman"/>
          <w:szCs w:val="21"/>
        </w:rPr>
        <w:t xml:space="preserve"> after RSV</w:t>
      </w:r>
      <w:r w:rsidRPr="00602337">
        <w:rPr>
          <w:rFonts w:ascii="Times New Roman" w:hAnsi="Times New Roman"/>
          <w:szCs w:val="21"/>
        </w:rPr>
        <w:t xml:space="preserve"> </w:t>
      </w:r>
      <w:r w:rsidRPr="00B61ABA">
        <w:rPr>
          <w:rFonts w:ascii="Times New Roman" w:hAnsi="Times New Roman"/>
          <w:szCs w:val="21"/>
        </w:rPr>
        <w:t>A2 challenge</w:t>
      </w:r>
      <w:r w:rsidR="00C32C44">
        <w:rPr>
          <w:rFonts w:ascii="Times New Roman" w:hAnsi="Times New Roman"/>
          <w:szCs w:val="21"/>
        </w:rPr>
        <w:t xml:space="preserve">. </w:t>
      </w:r>
      <w:r w:rsidRPr="00B61ABA">
        <w:rPr>
          <w:rFonts w:ascii="Times New Roman" w:hAnsi="Times New Roman"/>
          <w:szCs w:val="21"/>
        </w:rPr>
        <w:t xml:space="preserve"> </w:t>
      </w:r>
      <w:r w:rsidR="00C32C44">
        <w:rPr>
          <w:rFonts w:ascii="Times New Roman" w:hAnsi="Times New Roman"/>
          <w:szCs w:val="21"/>
        </w:rPr>
        <w:t>H</w:t>
      </w:r>
      <w:r w:rsidRPr="00B61ABA">
        <w:rPr>
          <w:rFonts w:ascii="Times New Roman" w:hAnsi="Times New Roman"/>
          <w:szCs w:val="21"/>
        </w:rPr>
        <w:t xml:space="preserve">istological staining and </w:t>
      </w:r>
      <w:r w:rsidR="001A1B0A" w:rsidRPr="001A1B0A">
        <w:rPr>
          <w:rFonts w:ascii="Times New Roman" w:hAnsi="Times New Roman"/>
          <w:szCs w:val="21"/>
        </w:rPr>
        <w:t>quantification</w:t>
      </w:r>
      <w:r w:rsidR="001A1B0A">
        <w:rPr>
          <w:rFonts w:ascii="Times New Roman" w:hAnsi="Times New Roman"/>
          <w:szCs w:val="21"/>
        </w:rPr>
        <w:t xml:space="preserve"> of </w:t>
      </w:r>
      <w:proofErr w:type="spellStart"/>
      <w:r w:rsidR="001A1B0A">
        <w:rPr>
          <w:rFonts w:ascii="Times New Roman" w:hAnsi="Times New Roman"/>
          <w:szCs w:val="21"/>
        </w:rPr>
        <w:t>eosinophils</w:t>
      </w:r>
      <w:proofErr w:type="spellEnd"/>
      <w:r w:rsidR="001A1B0A">
        <w:rPr>
          <w:rFonts w:ascii="Times New Roman" w:hAnsi="Times New Roman"/>
          <w:szCs w:val="21"/>
        </w:rPr>
        <w:t xml:space="preserve"> and neutrophils</w:t>
      </w:r>
      <w:r w:rsidR="00C32C44">
        <w:rPr>
          <w:rFonts w:ascii="Times New Roman" w:hAnsi="Times New Roman"/>
          <w:szCs w:val="21"/>
        </w:rPr>
        <w:t xml:space="preserve"> </w:t>
      </w:r>
      <w:r w:rsidR="001A1B0A">
        <w:rPr>
          <w:rFonts w:ascii="Times New Roman" w:hAnsi="Times New Roman"/>
          <w:szCs w:val="21"/>
        </w:rPr>
        <w:t>demonstrate</w:t>
      </w:r>
      <w:r w:rsidRPr="00B61ABA">
        <w:rPr>
          <w:rFonts w:ascii="Times New Roman" w:hAnsi="Times New Roman"/>
          <w:szCs w:val="21"/>
        </w:rPr>
        <w:t xml:space="preserve"> increased eosinophil and neutrophil infiltration in the </w:t>
      </w:r>
      <w:proofErr w:type="spellStart"/>
      <w:r w:rsidRPr="00B61ABA">
        <w:rPr>
          <w:rFonts w:ascii="Times New Roman" w:hAnsi="Times New Roman"/>
          <w:szCs w:val="21"/>
        </w:rPr>
        <w:t>hMPV</w:t>
      </w:r>
      <w:proofErr w:type="spellEnd"/>
      <w:r w:rsidRPr="00B61ABA">
        <w:rPr>
          <w:rFonts w:ascii="Times New Roman" w:hAnsi="Times New Roman"/>
          <w:szCs w:val="21"/>
        </w:rPr>
        <w:t xml:space="preserve"> post-F group (n = 5), consistent with e</w:t>
      </w:r>
      <w:r w:rsidR="00C32C44">
        <w:rPr>
          <w:rFonts w:ascii="Times New Roman" w:hAnsi="Times New Roman"/>
          <w:szCs w:val="21"/>
        </w:rPr>
        <w:t>nhanced granulocyte recruitment.</w:t>
      </w:r>
      <w:r w:rsidRPr="00B61ABA">
        <w:rPr>
          <w:rFonts w:ascii="Times New Roman" w:hAnsi="Times New Roman"/>
          <w:szCs w:val="21"/>
        </w:rPr>
        <w:t xml:space="preserve"> </w:t>
      </w:r>
      <w:r w:rsidR="00C32C44">
        <w:rPr>
          <w:rFonts w:ascii="Times New Roman" w:hAnsi="Times New Roman"/>
          <w:szCs w:val="21"/>
        </w:rPr>
        <w:t>S</w:t>
      </w:r>
      <w:r w:rsidRPr="00B61ABA">
        <w:rPr>
          <w:rFonts w:ascii="Times New Roman" w:hAnsi="Times New Roman"/>
          <w:szCs w:val="21"/>
        </w:rPr>
        <w:t xml:space="preserve">cale bar = 200 </w:t>
      </w:r>
      <w:proofErr w:type="spellStart"/>
      <w:r w:rsidRPr="00B61ABA">
        <w:rPr>
          <w:rFonts w:ascii="Times New Roman" w:hAnsi="Times New Roman"/>
          <w:szCs w:val="21"/>
        </w:rPr>
        <w:t>μm</w:t>
      </w:r>
      <w:proofErr w:type="spellEnd"/>
      <w:r w:rsidRPr="00B61ABA">
        <w:rPr>
          <w:rFonts w:ascii="Times New Roman" w:hAnsi="Times New Roman"/>
          <w:szCs w:val="21"/>
        </w:rPr>
        <w:t>.</w:t>
      </w: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  <w:sectPr w:rsidR="008C7C5B" w:rsidRPr="00B61ABA" w:rsidSect="008C7C5B">
          <w:footerReference w:type="default" r:id="rId1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  <w:r w:rsidRPr="00572539">
        <w:rPr>
          <w:rFonts w:ascii="Times New Roman" w:hAnsi="Times New Roman"/>
          <w:b/>
          <w:szCs w:val="21"/>
        </w:rPr>
        <w:lastRenderedPageBreak/>
        <w:t>Supplementary Table S1</w:t>
      </w:r>
      <w:r>
        <w:rPr>
          <w:rFonts w:ascii="Times New Roman" w:hAnsi="Times New Roman"/>
          <w:szCs w:val="21"/>
        </w:rPr>
        <w:t xml:space="preserve"> </w:t>
      </w:r>
      <w:r w:rsidRPr="00572539">
        <w:rPr>
          <w:rFonts w:ascii="Times New Roman" w:hAnsi="Times New Roman"/>
          <w:szCs w:val="21"/>
        </w:rPr>
        <w:t xml:space="preserve">Expression and </w:t>
      </w:r>
      <w:proofErr w:type="spellStart"/>
      <w:r w:rsidRPr="00572539">
        <w:rPr>
          <w:rFonts w:ascii="Times New Roman" w:hAnsi="Times New Roman"/>
          <w:szCs w:val="21"/>
        </w:rPr>
        <w:t>thermostability</w:t>
      </w:r>
      <w:proofErr w:type="spellEnd"/>
      <w:r w:rsidRPr="00572539">
        <w:rPr>
          <w:rFonts w:ascii="Times New Roman" w:hAnsi="Times New Roman"/>
          <w:szCs w:val="21"/>
        </w:rPr>
        <w:t xml:space="preserve"> summary of </w:t>
      </w:r>
      <w:proofErr w:type="spellStart"/>
      <w:r w:rsidRPr="00572539">
        <w:rPr>
          <w:rFonts w:ascii="Times New Roman" w:hAnsi="Times New Roman"/>
          <w:szCs w:val="21"/>
        </w:rPr>
        <w:t>hMPV</w:t>
      </w:r>
      <w:proofErr w:type="spellEnd"/>
      <w:r w:rsidRPr="00572539">
        <w:rPr>
          <w:rFonts w:ascii="Times New Roman" w:hAnsi="Times New Roman"/>
          <w:szCs w:val="21"/>
        </w:rPr>
        <w:t xml:space="preserve"> F variants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95"/>
        <w:gridCol w:w="4136"/>
        <w:gridCol w:w="2546"/>
        <w:gridCol w:w="1269"/>
      </w:tblGrid>
      <w:tr w:rsidR="008C7C5B" w:rsidRPr="00572539" w:rsidTr="00292055">
        <w:trPr>
          <w:trHeight w:val="20"/>
        </w:trPr>
        <w:tc>
          <w:tcPr>
            <w:tcW w:w="9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E1F2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ID of combinatorial substitutions</w:t>
            </w:r>
          </w:p>
        </w:tc>
        <w:tc>
          <w:tcPr>
            <w:tcW w:w="21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E1F2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Substitutions</w:t>
            </w:r>
          </w:p>
        </w:tc>
        <w:tc>
          <w:tcPr>
            <w:tcW w:w="13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E1F2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Fold change in expression relative to WT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E1F2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Tm (℃)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T365C/V463C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A140C/A147C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v3B_Δ12 D454C-458C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HM-245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G257C/V271C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HM-246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47.5/63.5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HM-247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S65C/D183C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HM-248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L378C/G432C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HM-249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L66C/V191C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HM-250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A140C/S149C-G257C/V271C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HM-251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A140C/S149C-S65C/D183C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HM-252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A140C/S149C-L378C/G432C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6.96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HM-253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G257C/V271C-S65C/D183C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HM-254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G257C/V271C-L378C/G432C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HM-255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S65C/D183C-L378C/G432C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VM-855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A140C/S149C-A225D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10.89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56.5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VM-856</w:t>
            </w:r>
          </w:p>
        </w:tc>
        <w:tc>
          <w:tcPr>
            <w:tcW w:w="2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A140C/S149C-A225D-L378C/G432C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</w:tr>
      <w:tr w:rsidR="008C7C5B" w:rsidRPr="00572539" w:rsidTr="00292055">
        <w:trPr>
          <w:trHeight w:val="20"/>
        </w:trPr>
        <w:tc>
          <w:tcPr>
            <w:tcW w:w="9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VM-874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A140C/S149C-A225D-L378C/G432C-rp</w:t>
            </w: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(103-113)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C7C5B" w:rsidRPr="00572539" w:rsidRDefault="008C7C5B" w:rsidP="0029205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57253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</w:tr>
    </w:tbl>
    <w:p w:rsidR="008C7C5B" w:rsidRPr="00B61ABA" w:rsidRDefault="008C7C5B" w:rsidP="008C7C5B">
      <w:pPr>
        <w:spacing w:line="360" w:lineRule="auto"/>
        <w:rPr>
          <w:rFonts w:ascii="Times New Roman" w:hAnsi="Times New Roman"/>
          <w:szCs w:val="21"/>
        </w:rPr>
      </w:pPr>
    </w:p>
    <w:p w:rsidR="008C7C5B" w:rsidRPr="008C7C5B" w:rsidRDefault="008C7C5B" w:rsidP="008C7C5B">
      <w:pPr>
        <w:rPr>
          <w:rFonts w:ascii="Times New Roman" w:hAnsi="Times New Roman" w:cs="Times New Roman"/>
          <w:b/>
          <w:sz w:val="36"/>
        </w:rPr>
      </w:pPr>
    </w:p>
    <w:sectPr w:rsidR="008C7C5B" w:rsidRPr="008C7C5B" w:rsidSect="008C7C5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027" w:rsidRDefault="006C7027" w:rsidP="008C7C5B">
      <w:r>
        <w:separator/>
      </w:r>
    </w:p>
  </w:endnote>
  <w:endnote w:type="continuationSeparator" w:id="0">
    <w:p w:rsidR="006C7027" w:rsidRDefault="006C7027" w:rsidP="008C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IXGener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764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C7C5B" w:rsidRDefault="008C7C5B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B0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3B0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7C5B" w:rsidRDefault="008C7C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027" w:rsidRDefault="006C7027" w:rsidP="008C7C5B">
      <w:r>
        <w:separator/>
      </w:r>
    </w:p>
  </w:footnote>
  <w:footnote w:type="continuationSeparator" w:id="0">
    <w:p w:rsidR="006C7027" w:rsidRDefault="006C7027" w:rsidP="008C7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C2"/>
    <w:rsid w:val="001A1B0A"/>
    <w:rsid w:val="004F2C67"/>
    <w:rsid w:val="005A3AA0"/>
    <w:rsid w:val="005B371C"/>
    <w:rsid w:val="00686ECF"/>
    <w:rsid w:val="006C7027"/>
    <w:rsid w:val="008A5A66"/>
    <w:rsid w:val="008C7C5B"/>
    <w:rsid w:val="009C0E5B"/>
    <w:rsid w:val="009D3B0B"/>
    <w:rsid w:val="00B25506"/>
    <w:rsid w:val="00BC08BD"/>
    <w:rsid w:val="00C32C44"/>
    <w:rsid w:val="00C7283B"/>
    <w:rsid w:val="00D3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0A082-474A-4F40-BFA7-5B29FD5D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8C7C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7C5B"/>
    <w:pPr>
      <w:ind w:firstLineChars="200" w:firstLine="420"/>
    </w:pPr>
    <w:rPr>
      <w:rFonts w:ascii="等线" w:eastAsia="等线" w:hAnsi="等线" w:cs="Times New Roman"/>
    </w:rPr>
  </w:style>
  <w:style w:type="character" w:styleId="a5">
    <w:name w:val="line number"/>
    <w:basedOn w:val="a0"/>
    <w:uiPriority w:val="99"/>
    <w:semiHidden/>
    <w:unhideWhenUsed/>
    <w:rsid w:val="008C7C5B"/>
  </w:style>
  <w:style w:type="paragraph" w:styleId="a6">
    <w:name w:val="header"/>
    <w:basedOn w:val="a"/>
    <w:link w:val="Char"/>
    <w:uiPriority w:val="99"/>
    <w:unhideWhenUsed/>
    <w:rsid w:val="008C7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C7C5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C7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C7C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_shuai@gzlab.ac.cn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ang_wei2@gzlab.ac.cn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mailto:peng_wei@gzlab.ac.cn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zhang_long@gzlab.ac.cn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2026-08-04T09:00:00Z</dcterms:created>
  <dcterms:modified xsi:type="dcterms:W3CDTF">2026-08-20T01:46:00Z</dcterms:modified>
</cp:coreProperties>
</file>