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E5B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i/>
          <w:sz w:val="28"/>
        </w:rPr>
      </w:pPr>
      <w:proofErr w:type="spellStart"/>
      <w:r w:rsidRPr="005068AD">
        <w:rPr>
          <w:rFonts w:ascii="Times New Roman" w:hAnsi="Times New Roman" w:cs="Times New Roman"/>
          <w:b/>
          <w:i/>
          <w:sz w:val="28"/>
        </w:rPr>
        <w:t>Virologica</w:t>
      </w:r>
      <w:proofErr w:type="spellEnd"/>
      <w:r w:rsidRPr="005068AD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5068AD">
        <w:rPr>
          <w:rFonts w:ascii="Times New Roman" w:hAnsi="Times New Roman" w:cs="Times New Roman"/>
          <w:b/>
          <w:i/>
          <w:sz w:val="28"/>
        </w:rPr>
        <w:t>Sinica</w:t>
      </w:r>
      <w:proofErr w:type="spellEnd"/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i/>
          <w:sz w:val="28"/>
        </w:rPr>
      </w:pP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8"/>
        </w:rPr>
      </w:pPr>
      <w:r w:rsidRPr="005068AD">
        <w:rPr>
          <w:rFonts w:ascii="Times New Roman" w:hAnsi="Times New Roman" w:cs="Times New Roman"/>
          <w:b/>
          <w:sz w:val="28"/>
        </w:rPr>
        <w:t>Supplementary Materials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i/>
          <w:sz w:val="28"/>
        </w:rPr>
      </w:pP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8"/>
        </w:rPr>
      </w:pPr>
      <w:r w:rsidRPr="005068AD">
        <w:rPr>
          <w:rFonts w:ascii="Times New Roman" w:hAnsi="Times New Roman" w:cs="Times New Roman"/>
          <w:b/>
          <w:bCs/>
          <w:sz w:val="28"/>
        </w:rPr>
        <w:t>Ferritin nanoparticle-based vaccine enhances mucosal immunity by promoting antigen uptake and activation of alveolar macrophages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vertAlign w:val="superscript"/>
        </w:rPr>
      </w:pPr>
      <w:proofErr w:type="spellStart"/>
      <w:r w:rsidRPr="005068AD">
        <w:rPr>
          <w:rFonts w:ascii="Times New Roman" w:hAnsi="Times New Roman" w:cs="Times New Roman"/>
          <w:sz w:val="22"/>
        </w:rPr>
        <w:t>Xiantao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Zhang</w:t>
      </w:r>
      <w:r w:rsidRPr="005068AD">
        <w:rPr>
          <w:rFonts w:ascii="Times New Roman" w:hAnsi="Times New Roman" w:cs="Times New Roman"/>
          <w:sz w:val="22"/>
          <w:vertAlign w:val="superscript"/>
        </w:rPr>
        <w:t>a,1</w:t>
      </w:r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Yingtong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Lin</w:t>
      </w:r>
      <w:r w:rsidRPr="005068AD">
        <w:rPr>
          <w:rFonts w:ascii="Times New Roman" w:hAnsi="Times New Roman" w:cs="Times New Roman"/>
          <w:sz w:val="22"/>
          <w:vertAlign w:val="superscript"/>
        </w:rPr>
        <w:t>a,1</w:t>
      </w:r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Jie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Liu </w:t>
      </w:r>
      <w:r w:rsidRPr="005068AD">
        <w:rPr>
          <w:rFonts w:ascii="Times New Roman" w:hAnsi="Times New Roman" w:cs="Times New Roman"/>
          <w:sz w:val="22"/>
          <w:vertAlign w:val="superscript"/>
        </w:rPr>
        <w:t>a</w:t>
      </w:r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Dongming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068AD">
        <w:rPr>
          <w:rFonts w:ascii="Times New Roman" w:hAnsi="Times New Roman" w:cs="Times New Roman"/>
          <w:sz w:val="22"/>
        </w:rPr>
        <w:t>Wang</w:t>
      </w:r>
      <w:r w:rsidRPr="005068AD">
        <w:rPr>
          <w:rFonts w:ascii="Times New Roman" w:hAnsi="Times New Roman" w:cs="Times New Roman"/>
          <w:sz w:val="22"/>
          <w:vertAlign w:val="superscript"/>
        </w:rPr>
        <w:t>a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Jiayi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068AD">
        <w:rPr>
          <w:rFonts w:ascii="Times New Roman" w:hAnsi="Times New Roman" w:cs="Times New Roman"/>
          <w:sz w:val="22"/>
        </w:rPr>
        <w:t>Yuan</w:t>
      </w:r>
      <w:r w:rsidRPr="005068AD">
        <w:rPr>
          <w:rFonts w:ascii="Times New Roman" w:hAnsi="Times New Roman" w:cs="Times New Roman"/>
          <w:sz w:val="22"/>
          <w:vertAlign w:val="superscript"/>
        </w:rPr>
        <w:t>a</w:t>
      </w:r>
      <w:proofErr w:type="spellEnd"/>
      <w:r w:rsidRPr="005068AD">
        <w:rPr>
          <w:rFonts w:ascii="Times New Roman" w:hAnsi="Times New Roman" w:cs="Times New Roman"/>
          <w:sz w:val="22"/>
        </w:rPr>
        <w:t>, Ran Chen</w:t>
      </w:r>
      <w:r w:rsidRPr="005068AD">
        <w:rPr>
          <w:rFonts w:ascii="Times New Roman" w:hAnsi="Times New Roman" w:cs="Times New Roman"/>
          <w:sz w:val="22"/>
          <w:vertAlign w:val="superscript"/>
        </w:rPr>
        <w:t>a</w:t>
      </w:r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Xu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068AD">
        <w:rPr>
          <w:rFonts w:ascii="Times New Roman" w:hAnsi="Times New Roman" w:cs="Times New Roman"/>
          <w:sz w:val="22"/>
        </w:rPr>
        <w:t>Zhang</w:t>
      </w:r>
      <w:r w:rsidRPr="005068AD">
        <w:rPr>
          <w:rFonts w:ascii="Times New Roman" w:hAnsi="Times New Roman" w:cs="Times New Roman"/>
          <w:sz w:val="22"/>
          <w:vertAlign w:val="superscript"/>
        </w:rPr>
        <w:t>a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Xue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Zhang </w:t>
      </w:r>
      <w:r w:rsidRPr="005068AD">
        <w:rPr>
          <w:rFonts w:ascii="Times New Roman" w:hAnsi="Times New Roman" w:cs="Times New Roman"/>
          <w:sz w:val="22"/>
          <w:vertAlign w:val="superscript"/>
        </w:rPr>
        <w:t>b, *</w:t>
      </w:r>
      <w:r w:rsidRPr="005068AD">
        <w:rPr>
          <w:rFonts w:ascii="Times New Roman" w:hAnsi="Times New Roman" w:cs="Times New Roman"/>
          <w:sz w:val="22"/>
        </w:rPr>
        <w:t xml:space="preserve">, Nan Zhou </w:t>
      </w:r>
      <w:r w:rsidRPr="005068AD">
        <w:rPr>
          <w:rFonts w:ascii="Times New Roman" w:hAnsi="Times New Roman" w:cs="Times New Roman"/>
          <w:sz w:val="22"/>
          <w:vertAlign w:val="superscript"/>
        </w:rPr>
        <w:t>a, c, *</w:t>
      </w:r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Hui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Zhang </w:t>
      </w:r>
      <w:r w:rsidRPr="005068AD">
        <w:rPr>
          <w:rFonts w:ascii="Times New Roman" w:hAnsi="Times New Roman" w:cs="Times New Roman"/>
          <w:sz w:val="22"/>
          <w:vertAlign w:val="superscript"/>
        </w:rPr>
        <w:t>a, *</w:t>
      </w:r>
      <w:r w:rsidRPr="005068AD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5068AD">
        <w:rPr>
          <w:rFonts w:ascii="Times New Roman" w:hAnsi="Times New Roman" w:cs="Times New Roman"/>
          <w:sz w:val="22"/>
        </w:rPr>
        <w:t>Xin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He </w:t>
      </w:r>
      <w:r w:rsidRPr="005068AD">
        <w:rPr>
          <w:rFonts w:ascii="Times New Roman" w:hAnsi="Times New Roman" w:cs="Times New Roman"/>
          <w:sz w:val="22"/>
          <w:vertAlign w:val="superscript"/>
        </w:rPr>
        <w:t>a, *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5068AD">
        <w:rPr>
          <w:rFonts w:ascii="Times New Roman" w:hAnsi="Times New Roman" w:cs="Times New Roman"/>
          <w:sz w:val="22"/>
          <w:vertAlign w:val="superscript"/>
        </w:rPr>
        <w:t>a</w:t>
      </w:r>
      <w:proofErr w:type="spellEnd"/>
      <w:r w:rsidRPr="005068AD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5068AD">
        <w:rPr>
          <w:rFonts w:ascii="Times New Roman" w:hAnsi="Times New Roman" w:cs="Times New Roman"/>
          <w:sz w:val="22"/>
        </w:rPr>
        <w:t xml:space="preserve">Institute of Human Virology, Department of Pathogen Biology and Biosecurity, and Key Laboratory of Tropical Disease Control of Ministry of Education, </w:t>
      </w:r>
      <w:proofErr w:type="spellStart"/>
      <w:r w:rsidRPr="005068AD">
        <w:rPr>
          <w:rFonts w:ascii="Times New Roman" w:hAnsi="Times New Roman" w:cs="Times New Roman"/>
          <w:sz w:val="22"/>
        </w:rPr>
        <w:t>Zhongshan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School of Medicine, Sun </w:t>
      </w:r>
      <w:proofErr w:type="spellStart"/>
      <w:r w:rsidRPr="005068AD">
        <w:rPr>
          <w:rFonts w:ascii="Times New Roman" w:hAnsi="Times New Roman" w:cs="Times New Roman"/>
          <w:sz w:val="22"/>
        </w:rPr>
        <w:t>Yat-sen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University, Guangzhou, 510080, China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proofErr w:type="gramStart"/>
      <w:r w:rsidRPr="005068AD">
        <w:rPr>
          <w:rFonts w:ascii="Times New Roman" w:hAnsi="Times New Roman" w:cs="Times New Roman"/>
          <w:sz w:val="22"/>
          <w:vertAlign w:val="superscript"/>
        </w:rPr>
        <w:t>b</w:t>
      </w:r>
      <w:proofErr w:type="gramEnd"/>
      <w:r w:rsidRPr="005068AD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5068AD">
        <w:rPr>
          <w:rFonts w:ascii="Times New Roman" w:hAnsi="Times New Roman" w:cs="Times New Roman"/>
          <w:sz w:val="22"/>
        </w:rPr>
        <w:t>The Second Clinical Medical School of Guangdong Pharmaceutical University (Guangdong Second Provincial General Hospital), Guangzhou</w:t>
      </w:r>
      <w:r w:rsidR="00824547">
        <w:rPr>
          <w:rFonts w:ascii="Times New Roman" w:hAnsi="Times New Roman" w:cs="Times New Roman"/>
          <w:sz w:val="22"/>
        </w:rPr>
        <w:t xml:space="preserve"> </w:t>
      </w:r>
      <w:r w:rsidR="00983376" w:rsidRPr="00983376">
        <w:rPr>
          <w:rFonts w:ascii="Times New Roman" w:hAnsi="Times New Roman" w:cs="Times New Roman"/>
          <w:sz w:val="22"/>
        </w:rPr>
        <w:t>510317</w:t>
      </w:r>
      <w:r w:rsidRPr="005068AD">
        <w:rPr>
          <w:rFonts w:ascii="Times New Roman" w:hAnsi="Times New Roman" w:cs="Times New Roman"/>
          <w:sz w:val="22"/>
        </w:rPr>
        <w:t>, China.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r w:rsidRPr="005068AD">
        <w:rPr>
          <w:rFonts w:ascii="Times New Roman" w:hAnsi="Times New Roman" w:cs="Times New Roman"/>
          <w:sz w:val="22"/>
          <w:vertAlign w:val="superscript"/>
        </w:rPr>
        <w:t xml:space="preserve">c </w:t>
      </w:r>
      <w:r w:rsidRPr="005068AD">
        <w:rPr>
          <w:rFonts w:ascii="Times New Roman" w:hAnsi="Times New Roman" w:cs="Times New Roman"/>
          <w:sz w:val="22"/>
        </w:rPr>
        <w:t xml:space="preserve">Center for Infection and Immunity Study, </w:t>
      </w:r>
      <w:proofErr w:type="spellStart"/>
      <w:r w:rsidRPr="005068AD">
        <w:rPr>
          <w:rFonts w:ascii="Times New Roman" w:hAnsi="Times New Roman" w:cs="Times New Roman"/>
          <w:sz w:val="22"/>
        </w:rPr>
        <w:t>Zhongshan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School of Medicine, Sun </w:t>
      </w:r>
      <w:proofErr w:type="spellStart"/>
      <w:r w:rsidRPr="005068AD">
        <w:rPr>
          <w:rFonts w:ascii="Times New Roman" w:hAnsi="Times New Roman" w:cs="Times New Roman"/>
          <w:sz w:val="22"/>
        </w:rPr>
        <w:t>Yat-sen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University, Shenzhen </w:t>
      </w:r>
      <w:r w:rsidR="00824547" w:rsidRPr="00824547">
        <w:rPr>
          <w:rFonts w:ascii="Times New Roman" w:hAnsi="Times New Roman" w:cs="Times New Roman"/>
          <w:sz w:val="22"/>
        </w:rPr>
        <w:t>518107</w:t>
      </w:r>
      <w:r w:rsidRPr="005068AD">
        <w:rPr>
          <w:rFonts w:ascii="Times New Roman" w:hAnsi="Times New Roman" w:cs="Times New Roman"/>
          <w:sz w:val="22"/>
        </w:rPr>
        <w:t>, China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r w:rsidRPr="005068AD">
        <w:rPr>
          <w:rFonts w:ascii="Times New Roman" w:hAnsi="Times New Roman" w:cs="Times New Roman"/>
          <w:sz w:val="22"/>
          <w:vertAlign w:val="superscript"/>
        </w:rPr>
        <w:t xml:space="preserve">1 </w:t>
      </w:r>
      <w:proofErr w:type="spellStart"/>
      <w:r w:rsidRPr="005068AD">
        <w:rPr>
          <w:rFonts w:ascii="Times New Roman" w:hAnsi="Times New Roman" w:cs="Times New Roman"/>
          <w:sz w:val="22"/>
        </w:rPr>
        <w:t>Xiantao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Zhang</w:t>
      </w:r>
      <w:r w:rsidRPr="005068AD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5068AD">
        <w:rPr>
          <w:rFonts w:ascii="Times New Roman" w:hAnsi="Times New Roman" w:cs="Times New Roman"/>
          <w:sz w:val="22"/>
        </w:rPr>
        <w:t xml:space="preserve">and </w:t>
      </w:r>
      <w:proofErr w:type="spellStart"/>
      <w:r w:rsidRPr="005068AD">
        <w:rPr>
          <w:rFonts w:ascii="Times New Roman" w:hAnsi="Times New Roman" w:cs="Times New Roman"/>
          <w:sz w:val="22"/>
        </w:rPr>
        <w:t>Yingtong</w:t>
      </w:r>
      <w:proofErr w:type="spellEnd"/>
      <w:r w:rsidRPr="005068AD">
        <w:rPr>
          <w:rFonts w:ascii="Times New Roman" w:hAnsi="Times New Roman" w:cs="Times New Roman"/>
          <w:sz w:val="22"/>
        </w:rPr>
        <w:t xml:space="preserve"> Lin contributed equally to this work. 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r w:rsidRPr="005068AD">
        <w:rPr>
          <w:rFonts w:ascii="Times New Roman" w:hAnsi="Times New Roman" w:cs="Times New Roman"/>
          <w:sz w:val="22"/>
          <w:vertAlign w:val="superscript"/>
        </w:rPr>
        <w:t xml:space="preserve">* </w:t>
      </w:r>
      <w:r w:rsidRPr="005068AD">
        <w:rPr>
          <w:rFonts w:ascii="Times New Roman" w:hAnsi="Times New Roman" w:cs="Times New Roman"/>
          <w:sz w:val="22"/>
        </w:rPr>
        <w:t xml:space="preserve">Corresponding authors: 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Email addresses: </w:t>
      </w:r>
      <w:r w:rsidRPr="005068AD">
        <w:rPr>
          <w:rFonts w:ascii="Times New Roman" w:hAnsi="Times New Roman" w:cs="Times New Roman"/>
          <w:sz w:val="22"/>
        </w:rPr>
        <w:t xml:space="preserve">hexin59@mail.sysu.edu.cn (X. He); zhangh92@mail.sysu.edu.cn (H. Zhang); zhangxuea@gdpu.edu.cn (X. Zhang); zhoun55@mail.sysu.edu.cn (N. Zhou); </w:t>
      </w:r>
    </w:p>
    <w:p w:rsidR="005068AD" w:rsidRPr="005068AD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  <w:sectPr w:rsidR="005068AD" w:rsidRPr="005068AD" w:rsidSect="005068AD">
          <w:headerReference w:type="default" r:id="rId7"/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5068AD">
        <w:rPr>
          <w:rFonts w:ascii="Times New Roman" w:hAnsi="Times New Roman" w:cs="Times New Roman"/>
          <w:sz w:val="22"/>
        </w:rPr>
        <w:t>ORCID: 0000-0002-2131-2092 (X. He); 0000-0003-3620-610X (H. Zhang); 0000-0001-9339-7040 (X. Zhang); 0000-0001-9524-4275 (N. Zhou).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8"/>
          <w:szCs w:val="24"/>
        </w:rPr>
        <w:lastRenderedPageBreak/>
        <w:t>Supplementary Materials and Methods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Ethics statement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All animal experiments were approved by the Ethics Review Board of Sun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Yat-sen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University and conducted in accordance with institutional and national guidelines. Experimental protocols involving mice were approved by the Ethics Committee of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Zhongshan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School of Medicine (ZSSOM), Sun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Yat-sen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University (Assurance Number: 2017-061).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Cells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HEK293T cells were obtained from ATCC and maintained in DMEM supplemented with 10% fetal bovine serum (FBS) and 1% penicillin-streptomycin (Thermo Fisher Scientific). HEK293T cells stably expressing human ACE2 (hACE2-HEK293T) were generated in-house for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pseudovirus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neutralization assays.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FreeStyle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HEK293F, obtained from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Thermofisher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, were cultured in serum-free medium (Union 293F, Union) supplemented with 8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mM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glutamine and 1% penicillin-streptomycin, maintained at 37 °C with 8% CO₂ under shaking conditions (120 rpm). All cell lines were routinely tested and confirmed to be free of mycoplasma contamination.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Animals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Female BALB/c mice (5–6 weeks old) and C57BL/6 mice were obtained from Guangdong Medical Laboratory Animal Center and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GemPharmatech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Co., respectively, and housed under specific pathogen-free (SPF) conditions at Sun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Yat-sen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University. The number of animals used in each experiment is indicated in the figure legends.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Protein expression and purification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Ferritin nanoparticles derived from </w:t>
      </w:r>
      <w:r w:rsidRPr="00983376">
        <w:rPr>
          <w:rFonts w:ascii="Times New Roman" w:eastAsia="Times New Roman" w:hAnsi="Times New Roman" w:cs="Times New Roman"/>
          <w:i/>
          <w:iCs/>
          <w:kern w:val="0"/>
          <w:sz w:val="22"/>
          <w:szCs w:val="24"/>
        </w:rPr>
        <w:t>Helicobacter pylori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(HPF) were engineered using a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Gv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-tag and expressed in 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Escherichia coli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BL21 (Takara). Protein expression was induced with isopropyl β-D-1-thiogalactopyranoside (IPTG). Bacterial pellets were lysed in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Tris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buffer (20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mM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Tris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, 50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mM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NaCl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, pH 7.5), followed by heat treatment at 70 °C for 15 min to remove host proteins. After centrifugation, the supernatant was purified by size-exclusion chromatography using a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Superose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6 Increase column (GE Healthcare). Tandem-RBD antigens fused with SD-tag were expressed in HEK293F cells and purified using Ni-affinity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lastRenderedPageBreak/>
        <w:t xml:space="preserve">chromatography. Purified proteins were analyzed by SDS-PAGE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Coomassie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blue staining and confirmed by Western blotting. For nanoparticle assembly, SD-tagged RBD antigens were conjugated to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Gv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-tagged HPF via a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Gv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/SD self-catalyzed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isopeptide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bond-forming system, enabling stable and multivalent antigen display. 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 xml:space="preserve">All purified nanoparticle preparations were subjected to Limulus </w:t>
      </w:r>
      <w:proofErr w:type="spellStart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amebocyte</w:t>
      </w:r>
      <w:proofErr w:type="spellEnd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 xml:space="preserve"> lysate (LAL) gel-clot assays (sensitivity: 0.25 EU/mL) according to the instruction (Cat# G010250, Xiamen </w:t>
      </w:r>
      <w:proofErr w:type="spellStart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Bioendo</w:t>
      </w:r>
      <w:proofErr w:type="spellEnd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 xml:space="preserve"> Tech). Briefly, samples were diluted to 10 </w:t>
      </w:r>
      <w:proofErr w:type="spellStart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μg</w:t>
      </w:r>
      <w:proofErr w:type="spellEnd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/mL and incubated with LAL reagent at 37°C for 60 min, gel formation was evaluated by 180° inversion. All tested batches yielded negative results to exclude endotoxin contamination, with endotoxin levels below the assay sensitivity of 0.25 EU/</w:t>
      </w:r>
      <w:proofErr w:type="spellStart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mL.</w:t>
      </w:r>
      <w:proofErr w:type="spellEnd"/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 xml:space="preserve"> 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Animal immunization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For intranasal immunization, BALB/c and C57BL/6 mice were immunized with nanoparticle-displayed tandem-RBD antigen (10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μg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, corresponding to 150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pmol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RBD equivalent) or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equimolar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monomeric tandem-RBD antigen without exogenous adjuvant. Immunizations were performed under light anesthesia.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Enzyme-linked </w:t>
      </w:r>
      <w:proofErr w:type="spellStart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immunosorbent</w:t>
      </w:r>
      <w:proofErr w:type="spellEnd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 assay (ELISA)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High-binding 96-well plates (Corning) were coated overnight at 4 °C with recombinant RBD proteins (5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μg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/mL). Plates were washed and blocked with 5% non-fat milk in PBS. Serum or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bronchoalveolar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lavage fluid (BALF) samples were serially diluted and incubated for 1 h at 37 °C. After washing, HRP-conjugated secondary antibodies were added (1:4,000 for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IgG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; 1:1,000 for IgA detection). Following incubation and washing, TMB substrate was added and reactions were stopped prior to measurement at 450 nm. Endpoint titers were calculated using nonlinear regression in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GraphPad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Prism.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proofErr w:type="spellStart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Pseudovirus</w:t>
      </w:r>
      <w:proofErr w:type="spellEnd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 neutralization assay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Pseudotyped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SARS-CoV-2 viruses expressing variant spike proteins were generated by co-transfecting HEK293T cells with plasmids encoding spike protein variants, psPAX2, and a luciferase reporter vector. Supernatants were collected at 48 h and filtered. Serially diluted serum samples were incubated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pseudovirus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for 1 h at 37 °C and added to hACE2-HEK293T cells. After 48 h, luciferase activity was measured to determine neutralization titers (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pVNT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₅₀).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Flow </w:t>
      </w:r>
      <w:proofErr w:type="spellStart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cytometry</w:t>
      </w:r>
      <w:proofErr w:type="spellEnd"/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lastRenderedPageBreak/>
        <w:t xml:space="preserve">To distinguish circulating and tissue-resident immune cells, mice were intravenously injected with anti-CD45 antibody (2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μg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per mouse) 5 min prior to euthanasia. Lung tissues were dissociated into single-cell suspensions and enriched using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Percoll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gradients. Cells were stained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fluorochrome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-conjugated antibodies against surface markers and analyzed using flow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cytometry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(</w:t>
      </w:r>
      <w:r w:rsidRPr="00983376">
        <w:rPr>
          <w:rFonts w:ascii="Times New Roman" w:eastAsia="Times New Roman" w:hAnsi="Times New Roman" w:cs="Times New Roman"/>
          <w:b/>
          <w:color w:val="0070C0"/>
          <w:kern w:val="0"/>
          <w:sz w:val="22"/>
          <w:szCs w:val="24"/>
        </w:rPr>
        <w:t>Supplementary Fig. S8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). Dead cells were excluded using viability dyes.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Key cell populations were defined as follows: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Pulmonary antibody-secreting cells: CD45 IV⁻ CD138⁺ IgA⁺ /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IgG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⁺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GC B cells: CD19⁺ CD95⁺ GL7⁺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Tissue-resident B cells (B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vertAlign w:val="subscript"/>
        </w:rPr>
        <w:t>RM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): CD45 IV⁻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IgD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⁻ RBD⁺ CD38⁺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Alveolar macrophages (AMs): CD45⁺ CD11c⁺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-F⁺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Surface </w:t>
      </w:r>
      <w:proofErr w:type="spellStart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plasmon</w:t>
      </w:r>
      <w:proofErr w:type="spellEnd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 resonance (SPR)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Binding kinetics between nanoparticle-displayed RBD and human ACE2 were measured using a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Biacore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T100 system (GE Healthcare). ACE2 was immobilized on a CM5 sensor chip via amine coupling. RBD nanoparticles were injected at multiple concentrations.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Analyte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concentrations were calculated based on the concentration of the assembled RBD-ferritin nanoparticle preparations following conjugation.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Sensorgrams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were fitted using a 1:1 Langmuir kinetic binding model. The apparent association rate constant (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ka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), apparent dissociation rate constant (</w:t>
      </w:r>
      <w:proofErr w:type="spellStart"/>
      <w:proofErr w:type="gram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kd</w:t>
      </w:r>
      <w:proofErr w:type="spellEnd"/>
      <w:proofErr w:type="gram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), and apparent equilibrium dissociation constant (K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vertAlign w:val="subscript"/>
        </w:rPr>
        <w:t>D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=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kd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/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ka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) were calculated using the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Biacore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T100 evaluation software.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proofErr w:type="spellStart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Transcriptomic</w:t>
      </w:r>
      <w:proofErr w:type="spellEnd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 analysis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Alveolar macrophages (CD45⁺ CD11c⁺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-F⁺) were sorted from lung tissue at 72 h post-immunization. Total RNA was extracted and subjected to high-throughput sequencing. Differential gene expression analysis and pathway enrichment were performed to identify transcriptional changes associated with nanoparticle vaccination.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RNA sequencing was performed using three biologically independent mice per group (n = 3). Raw RNA-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seq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data in FASTQ format were generated and subjected to quality assessment using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FastQC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(v0.11.9). After quality filtering, clean reads were aligned to the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Mus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musculus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reference genome (mm10) using STAR (v2.7.10a). Gene-level read counts were processed in R (v4.4.1), and differential gene expression analysis was performed using DESeq2 (v1.36.0). Gene counts were normalized using the median-of-ratios method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lastRenderedPageBreak/>
        <w:t xml:space="preserve">implemented in DESeq2. Differentially expressed genes were defined as those with an adjusted 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value (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Benjamini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–Hochberg false discovery rate, FDR) &lt; 0.05 and an absolute log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vertAlign w:val="subscript"/>
        </w:rPr>
        <w:t>2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fold change &gt; 1. Gene Ontology (GO) and Kyoto Encyclopedia of Genes and Genomes (KEGG) pathway enrichment analyses were performed using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clusterProfiler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(v4.14.6). Raw RNA-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seq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data have been deposited in the NCBI Sequence Read Archive (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BioProject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PRJNA1484448) and Science Data Bank (https://doi.org/10.57760/sciencedb.45401).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Statistical analysis</w:t>
      </w:r>
    </w:p>
    <w:p w:rsidR="00983376" w:rsidRPr="00983376" w:rsidRDefault="00983376" w:rsidP="00983376">
      <w:pPr>
        <w:widowControl/>
        <w:spacing w:line="360" w:lineRule="auto"/>
        <w:ind w:firstLineChars="200" w:firstLine="440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Statistical analyses were performed using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GraphPad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Prism. Data are presented as mean ±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s.e.m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. For comparisons between two groups, unpaired Student’s 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t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-tests were used. For multiple-group comparisons, one-way ANOVA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Tukey’s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multiple-comparison test was applied. Two-way ANOVA was used where appropriate. Statistical significance was defined as: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 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&lt;0.05 (*), 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0.01 (**), 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0.001 (***), 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P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&lt; 0.0001 (****); ns, not significant.</w:t>
      </w:r>
    </w:p>
    <w:p w:rsidR="00983376" w:rsidRPr="00983376" w:rsidRDefault="00983376" w:rsidP="00983376">
      <w:pPr>
        <w:widowControl/>
        <w:spacing w:after="160" w:line="278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br w:type="page"/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lastRenderedPageBreak/>
        <w:t>Supplementary Figure Legends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4"/>
        </w:rPr>
        <w:drawing>
          <wp:inline distT="0" distB="0" distL="0" distR="0" wp14:anchorId="41CF90F2" wp14:editId="52F87758">
            <wp:extent cx="4294634" cy="5095631"/>
            <wp:effectExtent l="0" t="0" r="0" b="0"/>
            <wp:docPr id="1" name="图片 1" descr="E:\VS 稿件\2026 publication\7471-\7471 R2\7471 to prod\VS7471_Fig_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VS 稿件\2026 publication\7471-\7471 R2\7471 to prod\VS7471_Fig_S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641" cy="5098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Supplementary Fig. S1.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 Receptor-binding characterization of mosaic tandem-RBD nanoparticles.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Sequence alignment of the T cell epitope peptides on the S proteins of SARS-CoV-2 among</w:t>
      </w:r>
      <w:bookmarkStart w:id="0" w:name="OLE_LINK20"/>
      <w:bookmarkStart w:id="1" w:name="OLE_LINK21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Sarbecovirus</w:t>
      </w:r>
      <w:proofErr w:type="spellEnd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 </w:t>
      </w:r>
      <w:bookmarkEnd w:id="0"/>
      <w:bookmarkEnd w:id="1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which contained four clade 1a of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Sarbecovirus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(SHCO14, WIVI, LYRa3, SARS-CoV-1 ), four clade 2 of </w:t>
      </w:r>
      <w:proofErr w:type="spellStart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Sarbecovirus</w:t>
      </w:r>
      <w:proofErr w:type="spellEnd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(Rs4081, RmYN02, Rf1, Yun11), three clade 3 of </w:t>
      </w:r>
      <w:proofErr w:type="spellStart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Sarbecovirus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(BM-4831, BtKY72, Khosta2 ), and fourteen clade 1b of </w:t>
      </w:r>
      <w:proofErr w:type="spellStart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Sarbecovirus</w:t>
      </w:r>
      <w:proofErr w:type="spellEnd"/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coronaviruses (RaTG13, Pang17, RshSTT200, SARS-CoV-2 WA1, Beta, Delta, BA.1, BA.2, BA.5, BA.2.75, BA.2.12.1, BQ.1.1, BF.7, XBB). This analysis was performed using MAFFT v7 with a BLOSUM62 scoring matrix and the L-INS-I algorithm.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Surface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plasmon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resonance (SPR) analysis of Mosaic tandem-RBD NP binding to human ACE2.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Sensorgrams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were analyzed using a 1:1 Langmuir kinetic binding model to derive the apparent association rate constant (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ka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), dissociation rate constant (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kd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), and apparent equilibrium dissociation constant (K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vertAlign w:val="subscript"/>
        </w:rPr>
        <w:t>D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). The results demonstrate that nanoparticle-displayed RBD retains receptor-binding activity, indicating preserved antigen conformation and functionality.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noProof/>
          <w:kern w:val="0"/>
          <w:sz w:val="22"/>
          <w:szCs w:val="24"/>
        </w:rPr>
        <w:lastRenderedPageBreak/>
        <w:drawing>
          <wp:inline distT="0" distB="0" distL="0" distR="0" wp14:anchorId="2107463C" wp14:editId="2F1E286A">
            <wp:extent cx="5669415" cy="5423877"/>
            <wp:effectExtent l="0" t="0" r="7620" b="5715"/>
            <wp:docPr id="2" name="图片 2" descr="E:\VS 稿件\2026 publication\7471-\7471 R2\7471 to prod\VS7471_Fig_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VS 稿件\2026 publication\7471-\7471 R2\7471 to prod\VS7471_Fig_S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569" cy="542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S2. 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Systemic and mucosal immune responses induced by nanoparticle vaccination.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Kinetics of RBD-specific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IgG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and IgA responses in serum. BALB/c mice were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intranasally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immunized on days 0 and 28 with 10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lang w:val="el-GR"/>
        </w:rPr>
        <w:t>μ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g Mosaic tandem-RBD NP (150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pmol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),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equimolar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monomeric tandem-RBD and HPF as controls. Serum samples were collected every two weeks for antibody measurement.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Pseudovirus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neutralization assay showing serum neutralizing activity against multiple SARS-CoV-2 variants at week 8 post-immunization.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C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Flow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cytometric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analysis of tissue-resident memory T cells (T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vertAlign w:val="subscript"/>
        </w:rPr>
        <w:t>RM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 in the lung at week 8 post-immunization. Tissue-resident cells were distinguished by CD45 intravascular labeling, and CD4⁺ and CD8⁺ T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  <w:vertAlign w:val="subscript"/>
        </w:rPr>
        <w:t>RM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populations were quantified. n = 5 per group. Statistical significance was determined by one-way ANOVA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Tukey’s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post hoc test. Data are presented as mean ±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s.e.m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. 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0.05; 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0.01; 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0.001; 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P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&lt; 0.0001; ns, not significant.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noProof/>
          <w:kern w:val="0"/>
          <w:sz w:val="22"/>
          <w:szCs w:val="24"/>
        </w:rPr>
        <w:lastRenderedPageBreak/>
        <w:drawing>
          <wp:inline distT="0" distB="0" distL="0" distR="0" wp14:anchorId="33014253" wp14:editId="525A3F7F">
            <wp:extent cx="5642708" cy="6774196"/>
            <wp:effectExtent l="0" t="0" r="0" b="7620"/>
            <wp:docPr id="3" name="图片 3" descr="E:\VS 稿件\2026 publication\7471-\7471 R2\7471 to prod\VS7471_Fig_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VS 稿件\2026 publication\7471-\7471 R2\7471 to prod\VS7471_Fig_S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056" cy="677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S3. 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Antigen uptake by pulmonary antigen-presenting cell subsets. </w:t>
      </w:r>
      <w:proofErr w:type="gramStart"/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</w:t>
      </w:r>
      <w:proofErr w:type="gram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Uptake of RFP-labeled antigen by alveolar macrophages (AMs; CD45⁺ CD11c⁺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-F⁺) at indicated time points.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Antigen uptake by dendritic cells (DCs; CD45⁺ CD11c⁺ MHCII⁺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-F⁻).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C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Antigen uptake by interstitial macrophages (IMs; CD45⁺ CD11b⁺ F4/80⁺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-F⁻). n = 3 per group. Statistical significance was determined by one-way ANOVA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Tukey’s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post hoc test. Data are presented as mean ±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s.e.m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. 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0.05; 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0.01; 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0.001; ****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P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&lt; 0.0001; ns, not significant.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bookmarkStart w:id="2" w:name="_GoBack"/>
      <w:r w:rsidRPr="00983376">
        <w:rPr>
          <w:rFonts w:ascii="Times New Roman" w:eastAsia="Times New Roman" w:hAnsi="Times New Roman" w:cs="Times New Roman"/>
          <w:noProof/>
          <w:kern w:val="0"/>
          <w:sz w:val="22"/>
          <w:szCs w:val="24"/>
        </w:rPr>
        <w:lastRenderedPageBreak/>
        <w:drawing>
          <wp:inline distT="0" distB="0" distL="0" distR="0" wp14:anchorId="6B42C0B4" wp14:editId="7AE7A3DC">
            <wp:extent cx="5733287" cy="8280000"/>
            <wp:effectExtent l="0" t="0" r="1270" b="6985"/>
            <wp:docPr id="6" name="图片 6" descr="E:\VS 稿件\2026 publication\7471-\7471 R2\7471 to prod\VS7471_Fig_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VS 稿件\2026 publication\7471-\7471 R2\7471 to prod\VS7471_Fig_S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287" cy="82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S4. 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Extracellular fluorescence quenching assay demonstrates enhanced intracellular antigen uptake by alveolar macrophages. </w:t>
      </w:r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C57BL/6 m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ice were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intranasally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immunized with soluble RBD-RFP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lastRenderedPageBreak/>
        <w:t xml:space="preserve">or ferritin nanoparticle-displayed RBD-RFP. Pulmonary AMs were isolated forty-eight hours later and treated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Trypan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Blue to quench extracellular fluorescence prior to flow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cytometric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analysis.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A, 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Representative </w:t>
      </w:r>
      <w:proofErr w:type="gram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flow</w:t>
      </w:r>
      <w:proofErr w:type="gram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cytometry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plots and frequencies of RFP signals in AMs with (</w:t>
      </w:r>
      <w:r w:rsidRPr="00983376">
        <w:rPr>
          <w:rFonts w:ascii="Times New Roman" w:eastAsia="Times New Roman" w:hAnsi="Times New Roman" w:cs="Times New Roman"/>
          <w:b/>
          <w:kern w:val="0"/>
          <w:sz w:val="22"/>
          <w:szCs w:val="24"/>
        </w:rPr>
        <w:t>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 or without (</w:t>
      </w:r>
      <w:r w:rsidRPr="00983376">
        <w:rPr>
          <w:rFonts w:ascii="Times New Roman" w:eastAsia="Times New Roman" w:hAnsi="Times New Roman" w:cs="Times New Roman"/>
          <w:b/>
          <w:kern w:val="0"/>
          <w:sz w:val="22"/>
          <w:szCs w:val="24"/>
        </w:rPr>
        <w:t>A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)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Trypan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Blue quenching.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C, D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Representative </w:t>
      </w:r>
      <w:proofErr w:type="gram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flow</w:t>
      </w:r>
      <w:proofErr w:type="gram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cytometry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plots and frequencies of RFP signals in DCs with (</w:t>
      </w:r>
      <w:r w:rsidRPr="00983376">
        <w:rPr>
          <w:rFonts w:ascii="Times New Roman" w:eastAsia="Times New Roman" w:hAnsi="Times New Roman" w:cs="Times New Roman"/>
          <w:b/>
          <w:kern w:val="0"/>
          <w:sz w:val="22"/>
          <w:szCs w:val="24"/>
        </w:rPr>
        <w:t>D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) or without (</w:t>
      </w:r>
      <w:r w:rsidRPr="00983376">
        <w:rPr>
          <w:rFonts w:ascii="Times New Roman" w:eastAsia="Times New Roman" w:hAnsi="Times New Roman" w:cs="Times New Roman"/>
          <w:b/>
          <w:kern w:val="0"/>
          <w:sz w:val="22"/>
          <w:szCs w:val="24"/>
        </w:rPr>
        <w:t>C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)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Trypan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Blue quenching. Data are mean ±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s.e.m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. from 3 mice per group. Statistical significance was determined by one-way ANOVA with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Tukey’s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post hoc test. 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0.05; 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0.01; 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0.001; ****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0.0001; ns, not significant.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等线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等线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等线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等线" w:hAnsi="Times New Roman" w:cs="Times New Roman"/>
          <w:noProof/>
          <w:kern w:val="0"/>
          <w:sz w:val="22"/>
          <w:szCs w:val="24"/>
        </w:rPr>
        <w:drawing>
          <wp:inline distT="0" distB="0" distL="0" distR="0" wp14:anchorId="23863379" wp14:editId="6E7168DE">
            <wp:extent cx="3985895" cy="3274695"/>
            <wp:effectExtent l="0" t="0" r="0" b="1905"/>
            <wp:docPr id="9" name="图片 9" descr="E:\VS 稿件\2026 publication\7471-\7471 R2\7471 to prod\VS7471_Fig_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VS 稿件\2026 publication\7471-\7471 R2\7471 to prod\VS7471_Fig_S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895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S5.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Transcriptomic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profiling of AMs. </w:t>
      </w:r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 xml:space="preserve">C57BL/6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mice were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intranasally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immunized with 150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pmol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RBD-RFP, or HPF NP, or RBD-RFP NP, and CD45⁺ CD11c⁺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-F⁺ cells were sorted at day 3 for RNA-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seq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analysis.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Heatmap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of differentially expressed genes (|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log₂FC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| &gt; 1, FDR &lt; 0.05, n= 3 biological replicates per group). Color scale indicates row-wise Z-score normalized expression values (red: high, blue: low). Rows represent genes; columns represent samples grouped by condition.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4"/>
        </w:rPr>
        <w:lastRenderedPageBreak/>
        <w:drawing>
          <wp:inline distT="0" distB="0" distL="0" distR="0" wp14:anchorId="0FD10A88" wp14:editId="618DBCE0">
            <wp:extent cx="5885180" cy="6346190"/>
            <wp:effectExtent l="0" t="0" r="1270" b="0"/>
            <wp:docPr id="13" name="图片 13" descr="E:\VS 稿件\2026 publication\7471-\7471 R2\7471 to prod\VS7471_Fig_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VS 稿件\2026 publication\7471-\7471 R2\7471 to prod\VS7471_Fig_S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180" cy="634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S6. 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Transcriptional reprogramming of alveolar macrophages following nanoparticle vaccination.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A–C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Bar plots showing the expression levels of selected genes in alveolar macrophages (AMs) derived from control and nanoparticle-vaccinated groups in </w:t>
      </w:r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C57BL/6 mice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, based on RNA-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seq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analysis. Expression values are presented as normalized expression levels (FPKM). n = 3 per group. Statistical significance was determined by unpaired two-tailed Student’s t-test. Data are presented as mean ±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s.e.m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. 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P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&lt; 0.05; 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0.01; 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0.001; ****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0.0001; ns, not significant.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4"/>
        </w:rPr>
        <w:lastRenderedPageBreak/>
        <w:drawing>
          <wp:inline distT="0" distB="0" distL="0" distR="0" wp14:anchorId="1593C36E" wp14:editId="60BD1592">
            <wp:extent cx="6174105" cy="4962525"/>
            <wp:effectExtent l="0" t="0" r="0" b="9525"/>
            <wp:docPr id="15" name="图片 15" descr="E:\VS 稿件\2026 publication\7471-\7471 R2\7471 to prod\VS7471_Fig_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VS 稿件\2026 publication\7471-\7471 R2\7471 to prod\VS7471_Fig_S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10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S7. 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Alveolar macrophages from ferritin nanoparticle-immunized mice exhibit enhanced functional antigen-presenting capacity. </w:t>
      </w:r>
      <w:r w:rsidRPr="00983376">
        <w:rPr>
          <w:rFonts w:ascii="Times New Roman" w:eastAsia="Times New Roman" w:hAnsi="Times New Roman" w:cs="Times New Roman"/>
          <w:color w:val="000000"/>
          <w:kern w:val="0"/>
          <w:sz w:val="22"/>
          <w:szCs w:val="24"/>
        </w:rPr>
        <w:t>C57BL/6 m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ice were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intranasally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immunized with soluble OVA or ferritin nanoparticle-displayed OVA. At 48 h post-immunization, pulmonary AMs were isolated and co-cultured with OT-I or OT-II T cells for 6 h </w:t>
      </w:r>
      <w:r w:rsidRPr="00983376">
        <w:rPr>
          <w:rFonts w:ascii="Times New Roman" w:eastAsia="Times New Roman" w:hAnsi="Times New Roman" w:cs="Times New Roman"/>
          <w:i/>
          <w:iCs/>
          <w:kern w:val="0"/>
          <w:sz w:val="22"/>
          <w:szCs w:val="24"/>
        </w:rPr>
        <w:t>ex vivo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A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CD69 expression and frequencies of activated CD44⁺CD69⁺ populations among OT-I T cells. </w:t>
      </w: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B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CD69 expression and frequencies of activated CD44⁺CD69⁺ populations among OT-II T cells. 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Data are presented as mean ±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s.e.m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. from 4 mice per group. Statistical significance was determined by two-tailed unpaired t-test, 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 xml:space="preserve">P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&lt; 0.05; ****</w:t>
      </w:r>
      <w:r w:rsidRPr="00983376">
        <w:rPr>
          <w:rFonts w:ascii="Times New Roman" w:eastAsia="Times New Roman" w:hAnsi="Times New Roman" w:cs="Times New Roman"/>
          <w:i/>
          <w:kern w:val="0"/>
          <w:sz w:val="22"/>
          <w:szCs w:val="24"/>
        </w:rPr>
        <w:t>P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&lt; 0.0001.</w:t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noProof/>
          <w:kern w:val="0"/>
          <w:sz w:val="22"/>
          <w:szCs w:val="24"/>
        </w:rPr>
        <w:lastRenderedPageBreak/>
        <w:drawing>
          <wp:inline distT="0" distB="0" distL="0" distR="0" wp14:anchorId="50F16E3C" wp14:editId="591ED8B9">
            <wp:extent cx="6400800" cy="6422716"/>
            <wp:effectExtent l="0" t="0" r="0" b="0"/>
            <wp:docPr id="16" name="图片 16" descr="E:\VS 稿件\2026 publication\7471-\7471 R2\7471 to prod\VS7471_Fig_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VS 稿件\2026 publication\7471-\7471 R2\7471 to prod\VS7471_Fig_S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42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76" w:rsidRPr="00983376" w:rsidRDefault="00983376" w:rsidP="00983376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 xml:space="preserve">Supplementary Fig. S8. </w:t>
      </w:r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Gating strategy for flow </w:t>
      </w:r>
      <w:proofErr w:type="spellStart"/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>cytometry</w:t>
      </w:r>
      <w:proofErr w:type="spellEnd"/>
      <w:r w:rsidRPr="00983376">
        <w:rPr>
          <w:rFonts w:ascii="Times New Roman" w:eastAsia="Times New Roman" w:hAnsi="Times New Roman" w:cs="Times New Roman"/>
          <w:bCs/>
          <w:kern w:val="0"/>
          <w:sz w:val="22"/>
          <w:szCs w:val="24"/>
        </w:rPr>
        <w:t xml:space="preserve"> analysis. </w:t>
      </w:r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Alveolar macrophages (AMs): Live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Singlets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CD45⁺ CD11c⁺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-F⁺; Dendritic Cells (DCs): Live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Singlets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CD45⁺ Siglec-F⁻CD11c⁺ MHC-II⁺; Interstitial macrophages (IMs): Live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Singlets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 CD45⁺ </w:t>
      </w:r>
      <w:proofErr w:type="spellStart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>Siglec</w:t>
      </w:r>
      <w:proofErr w:type="spellEnd"/>
      <w:r w:rsidRPr="00983376">
        <w:rPr>
          <w:rFonts w:ascii="Times New Roman" w:eastAsia="Times New Roman" w:hAnsi="Times New Roman" w:cs="Times New Roman"/>
          <w:kern w:val="0"/>
          <w:sz w:val="22"/>
          <w:szCs w:val="24"/>
        </w:rPr>
        <w:t xml:space="preserve">-F⁻ F4/80⁺ CD11b⁺.  </w:t>
      </w:r>
    </w:p>
    <w:p w:rsidR="00983376" w:rsidRPr="00983376" w:rsidRDefault="00983376" w:rsidP="00983376">
      <w:pPr>
        <w:widowControl/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kern w:val="0"/>
          <w:sz w:val="22"/>
          <w:szCs w:val="24"/>
        </w:rPr>
      </w:pPr>
    </w:p>
    <w:p w:rsidR="00983376" w:rsidRDefault="00983376" w:rsidP="00983376">
      <w:pPr>
        <w:widowControl/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sectPr w:rsidR="00983376" w:rsidSect="005068AD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983376" w:rsidRPr="00983376" w:rsidRDefault="00983376" w:rsidP="00983376">
      <w:pPr>
        <w:widowControl/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lastRenderedPageBreak/>
        <w:t xml:space="preserve">Supplementary Table S1 </w:t>
      </w:r>
    </w:p>
    <w:p w:rsidR="00983376" w:rsidRPr="00983376" w:rsidRDefault="00983376" w:rsidP="00983376">
      <w:pPr>
        <w:widowControl/>
        <w:adjustRightInd w:val="0"/>
        <w:snapToGrid w:val="0"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</w:pPr>
      <w:r w:rsidRPr="00983376">
        <w:rPr>
          <w:rFonts w:ascii="Times New Roman" w:eastAsia="Times New Roman" w:hAnsi="Times New Roman" w:cs="Times New Roman"/>
          <w:b/>
          <w:bCs/>
          <w:kern w:val="0"/>
          <w:sz w:val="22"/>
          <w:szCs w:val="24"/>
        </w:rPr>
        <w:t>(Excel file)</w:t>
      </w:r>
    </w:p>
    <w:p w:rsidR="005068AD" w:rsidRPr="00983376" w:rsidRDefault="005068AD" w:rsidP="005068AD">
      <w:pPr>
        <w:adjustRightInd w:val="0"/>
        <w:snapToGrid w:val="0"/>
        <w:spacing w:line="360" w:lineRule="auto"/>
        <w:rPr>
          <w:rFonts w:ascii="Times New Roman" w:hAnsi="Times New Roman" w:cs="Times New Roman" w:hint="eastAsia"/>
          <w:sz w:val="22"/>
        </w:rPr>
      </w:pPr>
    </w:p>
    <w:sectPr w:rsidR="005068AD" w:rsidRPr="00983376" w:rsidSect="0098337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20B" w:rsidRDefault="00CC520B" w:rsidP="00983376">
      <w:r>
        <w:separator/>
      </w:r>
    </w:p>
  </w:endnote>
  <w:endnote w:type="continuationSeparator" w:id="0">
    <w:p w:rsidR="00CC520B" w:rsidRDefault="00CC520B" w:rsidP="0098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20B" w:rsidRDefault="00CC520B" w:rsidP="00983376">
      <w:r>
        <w:separator/>
      </w:r>
    </w:p>
  </w:footnote>
  <w:footnote w:type="continuationSeparator" w:id="0">
    <w:p w:rsidR="00CC520B" w:rsidRDefault="00CC520B" w:rsidP="00983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376" w:rsidRDefault="00983376" w:rsidP="00983376">
    <w:pPr>
      <w:pStyle w:val="a4"/>
      <w:pBdr>
        <w:bottom w:val="none" w:sz="0" w:space="0" w:color="auto"/>
      </w:pBdr>
      <w:tabs>
        <w:tab w:val="center" w:pos="4873"/>
        <w:tab w:val="left" w:pos="5724"/>
      </w:tabs>
      <w:jc w:val="left"/>
    </w:pPr>
    <w:r>
      <w:tab/>
    </w:r>
    <w:r>
      <w:tab/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</w:r>
  </w:p>
  <w:p w:rsidR="00983376" w:rsidRDefault="00983376" w:rsidP="0098337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20B"/>
    <w:rsid w:val="005068AD"/>
    <w:rsid w:val="00824547"/>
    <w:rsid w:val="00983376"/>
    <w:rsid w:val="009C0E5B"/>
    <w:rsid w:val="00CC520B"/>
    <w:rsid w:val="00CD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4E266-FA56-4178-8DC5-3A289C48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068AD"/>
  </w:style>
  <w:style w:type="paragraph" w:styleId="a4">
    <w:name w:val="header"/>
    <w:basedOn w:val="a"/>
    <w:link w:val="Char"/>
    <w:uiPriority w:val="99"/>
    <w:unhideWhenUsed/>
    <w:rsid w:val="00983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8337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83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833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14A3B-594A-4BB0-9E51-BF2A8834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2133</Words>
  <Characters>12164</Characters>
  <Application>Microsoft Office Word</Application>
  <DocSecurity>0</DocSecurity>
  <Lines>101</Lines>
  <Paragraphs>28</Paragraphs>
  <ScaleCrop>false</ScaleCrop>
  <Company/>
  <LinksUpToDate>false</LinksUpToDate>
  <CharactersWithSpaces>14269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2026-08-06T07:33:00Z</dcterms:created>
  <dcterms:modified xsi:type="dcterms:W3CDTF">2026-08-06T07:54:00Z</dcterms:modified>
</cp:coreProperties>
</file>