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68A" w:rsidRDefault="00F65489">
      <w:pPr>
        <w:spacing w:line="480" w:lineRule="auto"/>
        <w:jc w:val="lef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b/>
          <w:i/>
          <w:sz w:val="24"/>
          <w:szCs w:val="24"/>
        </w:rPr>
        <w:t>Virologica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Sinica</w:t>
      </w:r>
      <w:proofErr w:type="spellEnd"/>
    </w:p>
    <w:p w:rsidR="00A7468A" w:rsidRDefault="00F65489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Materials</w:t>
      </w:r>
    </w:p>
    <w:p w:rsidR="00A7468A" w:rsidRDefault="00A7468A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7468A" w:rsidRDefault="00F65489">
      <w:pPr>
        <w:pStyle w:val="Articletitle"/>
        <w:adjustRightInd w:val="0"/>
        <w:snapToGrid w:val="0"/>
        <w:spacing w:after="0"/>
        <w:jc w:val="both"/>
        <w:rPr>
          <w:szCs w:val="22"/>
          <w:lang w:val="en-US"/>
        </w:rPr>
      </w:pPr>
      <w:r>
        <w:rPr>
          <w:szCs w:val="22"/>
          <w:lang w:val="en-US"/>
        </w:rPr>
        <w:t xml:space="preserve">A fatal human case of co-infection with </w:t>
      </w:r>
      <w:r>
        <w:rPr>
          <w:szCs w:val="22"/>
          <w:lang w:val="en-US" w:eastAsia="zh-CN"/>
        </w:rPr>
        <w:t>s</w:t>
      </w:r>
      <w:r>
        <w:rPr>
          <w:szCs w:val="22"/>
          <w:lang w:val="en-US"/>
        </w:rPr>
        <w:t xml:space="preserve">evere fever with thrombocytopenia syndrome virus and </w:t>
      </w:r>
      <w:bookmarkStart w:id="0" w:name="OLE_LINK9"/>
      <w:bookmarkStart w:id="1" w:name="OLE_LINK10"/>
      <w:r>
        <w:rPr>
          <w:szCs w:val="22"/>
          <w:lang w:val="en-US"/>
        </w:rPr>
        <w:t>Nairobi</w:t>
      </w:r>
      <w:bookmarkEnd w:id="0"/>
      <w:bookmarkEnd w:id="1"/>
      <w:r>
        <w:rPr>
          <w:szCs w:val="22"/>
          <w:lang w:val="en-US"/>
        </w:rPr>
        <w:t xml:space="preserve"> sheep disease virus</w:t>
      </w:r>
    </w:p>
    <w:p w:rsidR="00A7468A" w:rsidRDefault="00A7468A">
      <w:pPr>
        <w:rPr>
          <w:sz w:val="22"/>
        </w:rPr>
      </w:pPr>
    </w:p>
    <w:p w:rsidR="00A7468A" w:rsidRDefault="00F65489">
      <w:pPr>
        <w:pStyle w:val="Authornames"/>
        <w:adjustRightInd w:val="0"/>
        <w:snapToGrid w:val="0"/>
        <w:spacing w:before="0"/>
        <w:jc w:val="both"/>
        <w:rPr>
          <w:sz w:val="22"/>
          <w:szCs w:val="22"/>
          <w:vertAlign w:val="superscript"/>
          <w:lang w:val="en-US"/>
        </w:rPr>
      </w:pPr>
      <w:proofErr w:type="spellStart"/>
      <w:r>
        <w:rPr>
          <w:sz w:val="22"/>
          <w:szCs w:val="22"/>
          <w:lang w:val="en-US"/>
        </w:rPr>
        <w:t>Liyan</w:t>
      </w:r>
      <w:proofErr w:type="spellEnd"/>
      <w:r>
        <w:rPr>
          <w:sz w:val="22"/>
          <w:szCs w:val="22"/>
          <w:lang w:val="en-US"/>
        </w:rPr>
        <w:t xml:space="preserve"> Fu </w:t>
      </w:r>
      <w:r>
        <w:rPr>
          <w:sz w:val="22"/>
          <w:szCs w:val="22"/>
          <w:vertAlign w:val="superscript"/>
          <w:lang w:val="en-US" w:eastAsia="zh-CN"/>
        </w:rPr>
        <w:t>a</w:t>
      </w:r>
      <w:r>
        <w:rPr>
          <w:sz w:val="22"/>
          <w:szCs w:val="22"/>
          <w:vertAlign w:val="superscript"/>
          <w:lang w:val="en-US"/>
        </w:rPr>
        <w:t xml:space="preserve">, </w:t>
      </w:r>
      <w:r>
        <w:rPr>
          <w:sz w:val="22"/>
          <w:szCs w:val="22"/>
          <w:vertAlign w:val="superscript"/>
          <w:lang w:val="en-US" w:eastAsia="zh-CN"/>
        </w:rPr>
        <w:t>b</w:t>
      </w:r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Hongzhi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Xu</w:t>
      </w:r>
      <w:proofErr w:type="spellEnd"/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vertAlign w:val="superscript"/>
          <w:lang w:val="en-US" w:eastAsia="zh-CN"/>
        </w:rPr>
        <w:t>c</w:t>
      </w:r>
      <w:r>
        <w:rPr>
          <w:sz w:val="22"/>
          <w:szCs w:val="22"/>
          <w:lang w:val="en-US" w:eastAsia="zh-CN"/>
        </w:rPr>
        <w:t xml:space="preserve">, Ying </w:t>
      </w:r>
      <w:proofErr w:type="spellStart"/>
      <w:r>
        <w:rPr>
          <w:sz w:val="22"/>
          <w:szCs w:val="22"/>
          <w:lang w:val="en-US" w:eastAsia="zh-CN"/>
        </w:rPr>
        <w:t>Peng</w:t>
      </w:r>
      <w:proofErr w:type="spellEnd"/>
      <w:r>
        <w:rPr>
          <w:sz w:val="22"/>
          <w:szCs w:val="22"/>
          <w:lang w:val="en-US" w:eastAsia="zh-CN"/>
        </w:rPr>
        <w:t xml:space="preserve"> </w:t>
      </w:r>
      <w:r>
        <w:rPr>
          <w:sz w:val="22"/>
          <w:szCs w:val="22"/>
          <w:vertAlign w:val="superscript"/>
          <w:lang w:val="en-US" w:eastAsia="zh-CN"/>
        </w:rPr>
        <w:t>c</w:t>
      </w:r>
      <w:r>
        <w:rPr>
          <w:sz w:val="22"/>
          <w:szCs w:val="22"/>
          <w:lang w:val="en-US" w:eastAsia="zh-CN"/>
        </w:rPr>
        <w:t xml:space="preserve">, </w:t>
      </w:r>
      <w:proofErr w:type="spellStart"/>
      <w:r>
        <w:rPr>
          <w:sz w:val="22"/>
          <w:szCs w:val="22"/>
          <w:lang w:val="en-US"/>
        </w:rPr>
        <w:t>Chenxuan</w:t>
      </w:r>
      <w:proofErr w:type="spellEnd"/>
      <w:r>
        <w:rPr>
          <w:sz w:val="22"/>
          <w:szCs w:val="22"/>
          <w:lang w:val="en-US"/>
        </w:rPr>
        <w:t xml:space="preserve"> Li </w:t>
      </w:r>
      <w:r>
        <w:rPr>
          <w:sz w:val="22"/>
          <w:szCs w:val="22"/>
          <w:vertAlign w:val="superscript"/>
          <w:lang w:val="en-US" w:eastAsia="zh-CN"/>
        </w:rPr>
        <w:t>b</w:t>
      </w:r>
      <w:r>
        <w:rPr>
          <w:sz w:val="22"/>
          <w:szCs w:val="22"/>
          <w:lang w:val="en-US"/>
        </w:rPr>
        <w:t xml:space="preserve">, Jun Ni </w:t>
      </w:r>
      <w:r>
        <w:rPr>
          <w:sz w:val="22"/>
          <w:szCs w:val="22"/>
          <w:vertAlign w:val="superscript"/>
          <w:lang w:val="en-US" w:eastAsia="zh-CN"/>
        </w:rPr>
        <w:t>b, e, f</w:t>
      </w:r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 w:eastAsia="zh-CN"/>
        </w:rPr>
        <w:t>Yanfang</w:t>
      </w:r>
      <w:proofErr w:type="spellEnd"/>
      <w:r>
        <w:rPr>
          <w:sz w:val="22"/>
          <w:szCs w:val="22"/>
          <w:lang w:val="en-US" w:eastAsia="zh-CN"/>
        </w:rPr>
        <w:t xml:space="preserve"> Zhang </w:t>
      </w:r>
      <w:r>
        <w:rPr>
          <w:sz w:val="22"/>
          <w:szCs w:val="22"/>
          <w:vertAlign w:val="superscript"/>
          <w:lang w:val="en-US" w:eastAsia="zh-CN"/>
        </w:rPr>
        <w:t>b</w:t>
      </w:r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 w:eastAsia="zh-CN"/>
        </w:rPr>
        <w:t>Xijia</w:t>
      </w:r>
      <w:proofErr w:type="spellEnd"/>
      <w:r>
        <w:rPr>
          <w:sz w:val="22"/>
          <w:szCs w:val="22"/>
          <w:lang w:val="en-US" w:eastAsia="zh-CN"/>
        </w:rPr>
        <w:t xml:space="preserve"> Liu </w:t>
      </w:r>
      <w:r>
        <w:rPr>
          <w:sz w:val="22"/>
          <w:szCs w:val="22"/>
          <w:vertAlign w:val="superscript"/>
          <w:lang w:val="en-US" w:eastAsia="zh-CN"/>
        </w:rPr>
        <w:t>b</w:t>
      </w:r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 w:eastAsia="zh-CN"/>
        </w:rPr>
        <w:t>Jie</w:t>
      </w:r>
      <w:proofErr w:type="spellEnd"/>
      <w:r>
        <w:rPr>
          <w:sz w:val="22"/>
          <w:szCs w:val="22"/>
          <w:lang w:val="en-US" w:eastAsia="zh-CN"/>
        </w:rPr>
        <w:t xml:space="preserve"> Fu </w:t>
      </w:r>
      <w:r>
        <w:rPr>
          <w:sz w:val="22"/>
          <w:szCs w:val="22"/>
          <w:vertAlign w:val="superscript"/>
          <w:lang w:val="en-US" w:eastAsia="zh-CN"/>
        </w:rPr>
        <w:t>b</w:t>
      </w:r>
      <w:r>
        <w:rPr>
          <w:sz w:val="22"/>
          <w:szCs w:val="22"/>
          <w:lang w:val="en-US" w:eastAsia="zh-CN"/>
        </w:rPr>
        <w:t xml:space="preserve">, </w:t>
      </w:r>
      <w:proofErr w:type="spellStart"/>
      <w:r>
        <w:rPr>
          <w:sz w:val="22"/>
          <w:szCs w:val="22"/>
          <w:lang w:val="en-US" w:eastAsia="zh-CN"/>
        </w:rPr>
        <w:t>Zhengyuan</w:t>
      </w:r>
      <w:proofErr w:type="spellEnd"/>
      <w:r>
        <w:rPr>
          <w:sz w:val="22"/>
          <w:szCs w:val="22"/>
          <w:lang w:val="en-US" w:eastAsia="zh-CN"/>
        </w:rPr>
        <w:t xml:space="preserve"> Su </w:t>
      </w:r>
      <w:r>
        <w:rPr>
          <w:sz w:val="22"/>
          <w:szCs w:val="22"/>
          <w:vertAlign w:val="superscript"/>
          <w:lang w:val="en-US" w:eastAsia="zh-CN"/>
        </w:rPr>
        <w:t>b</w:t>
      </w:r>
      <w:r>
        <w:rPr>
          <w:sz w:val="22"/>
          <w:szCs w:val="22"/>
          <w:lang w:val="en-US" w:eastAsia="zh-CN"/>
        </w:rPr>
        <w:t xml:space="preserve">, </w:t>
      </w:r>
      <w:r>
        <w:rPr>
          <w:sz w:val="22"/>
          <w:szCs w:val="22"/>
          <w:lang w:val="en-US"/>
        </w:rPr>
        <w:t xml:space="preserve">Jin </w:t>
      </w:r>
      <w:proofErr w:type="spellStart"/>
      <w:r>
        <w:rPr>
          <w:sz w:val="22"/>
          <w:szCs w:val="22"/>
          <w:lang w:val="en-US"/>
        </w:rPr>
        <w:t>Qian</w:t>
      </w:r>
      <w:proofErr w:type="spellEnd"/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vertAlign w:val="superscript"/>
          <w:lang w:val="en-US" w:eastAsia="zh-CN"/>
        </w:rPr>
        <w:t>b</w:t>
      </w:r>
      <w:r>
        <w:rPr>
          <w:sz w:val="22"/>
          <w:szCs w:val="22"/>
          <w:lang w:val="en-US" w:eastAsia="zh-CN"/>
        </w:rPr>
        <w:t xml:space="preserve">, </w:t>
      </w:r>
      <w:proofErr w:type="spellStart"/>
      <w:r>
        <w:rPr>
          <w:sz w:val="22"/>
          <w:szCs w:val="22"/>
          <w:lang w:val="en-US" w:eastAsia="zh-CN"/>
        </w:rPr>
        <w:t>Jiayin</w:t>
      </w:r>
      <w:proofErr w:type="spellEnd"/>
      <w:r>
        <w:rPr>
          <w:sz w:val="22"/>
          <w:szCs w:val="22"/>
          <w:lang w:val="en-US" w:eastAsia="zh-CN"/>
        </w:rPr>
        <w:t xml:space="preserve"> Jin </w:t>
      </w:r>
      <w:r>
        <w:rPr>
          <w:sz w:val="22"/>
          <w:szCs w:val="22"/>
          <w:vertAlign w:val="superscript"/>
          <w:lang w:val="en-US" w:eastAsia="zh-CN"/>
        </w:rPr>
        <w:t>b</w:t>
      </w:r>
      <w:r>
        <w:rPr>
          <w:sz w:val="22"/>
          <w:szCs w:val="22"/>
          <w:lang w:val="en-US" w:eastAsia="zh-CN"/>
        </w:rPr>
        <w:t xml:space="preserve">, </w:t>
      </w:r>
      <w:proofErr w:type="spellStart"/>
      <w:r>
        <w:rPr>
          <w:sz w:val="22"/>
          <w:szCs w:val="22"/>
          <w:lang w:val="en-US"/>
        </w:rPr>
        <w:t>Jinfeng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Xiong</w:t>
      </w:r>
      <w:proofErr w:type="spellEnd"/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vertAlign w:val="superscript"/>
          <w:lang w:val="en-US" w:eastAsia="zh-CN"/>
        </w:rPr>
        <w:t>d</w:t>
      </w:r>
      <w:r>
        <w:rPr>
          <w:sz w:val="22"/>
          <w:szCs w:val="22"/>
          <w:lang w:val="en-US"/>
        </w:rPr>
        <w:t xml:space="preserve">, Qi Chen </w:t>
      </w:r>
      <w:r>
        <w:rPr>
          <w:sz w:val="22"/>
          <w:szCs w:val="22"/>
          <w:vertAlign w:val="superscript"/>
          <w:lang w:val="en-US" w:eastAsia="zh-CN"/>
        </w:rPr>
        <w:t>d</w:t>
      </w:r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Xuhua</w:t>
      </w:r>
      <w:proofErr w:type="spellEnd"/>
      <w:r>
        <w:rPr>
          <w:sz w:val="22"/>
          <w:szCs w:val="22"/>
          <w:lang w:val="en-US"/>
        </w:rPr>
        <w:t xml:space="preserve"> Guan </w:t>
      </w:r>
      <w:r>
        <w:rPr>
          <w:sz w:val="22"/>
          <w:szCs w:val="22"/>
          <w:vertAlign w:val="superscript"/>
          <w:lang w:val="en-US" w:eastAsia="zh-CN"/>
        </w:rPr>
        <w:t>d</w:t>
      </w:r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Shuang</w:t>
      </w:r>
      <w:proofErr w:type="spellEnd"/>
      <w:r>
        <w:rPr>
          <w:sz w:val="22"/>
          <w:szCs w:val="22"/>
          <w:lang w:val="en-US"/>
        </w:rPr>
        <w:t xml:space="preserve"> Tang </w:t>
      </w:r>
      <w:r>
        <w:rPr>
          <w:sz w:val="22"/>
          <w:szCs w:val="22"/>
          <w:vertAlign w:val="superscript"/>
          <w:lang w:val="en-US" w:eastAsia="zh-CN"/>
        </w:rPr>
        <w:t>b</w:t>
      </w:r>
      <w:r>
        <w:rPr>
          <w:sz w:val="22"/>
          <w:szCs w:val="22"/>
          <w:lang w:val="en-US"/>
        </w:rPr>
        <w:t>,</w:t>
      </w:r>
      <w:r>
        <w:rPr>
          <w:sz w:val="22"/>
          <w:szCs w:val="22"/>
          <w:lang w:val="en-US" w:eastAsia="zh-CN"/>
        </w:rPr>
        <w:t xml:space="preserve"> </w:t>
      </w:r>
      <w:proofErr w:type="spellStart"/>
      <w:r>
        <w:rPr>
          <w:sz w:val="22"/>
          <w:szCs w:val="22"/>
          <w:lang w:val="en-US"/>
        </w:rPr>
        <w:t>Fei</w:t>
      </w:r>
      <w:proofErr w:type="spellEnd"/>
      <w:r>
        <w:rPr>
          <w:sz w:val="22"/>
          <w:szCs w:val="22"/>
          <w:lang w:val="en-US"/>
        </w:rPr>
        <w:t xml:space="preserve"> Deng </w:t>
      </w:r>
      <w:r>
        <w:rPr>
          <w:sz w:val="22"/>
          <w:szCs w:val="22"/>
          <w:vertAlign w:val="superscript"/>
          <w:lang w:val="en-US" w:eastAsia="zh-CN"/>
        </w:rPr>
        <w:t>b</w:t>
      </w:r>
      <w:r>
        <w:rPr>
          <w:sz w:val="22"/>
          <w:szCs w:val="22"/>
          <w:lang w:val="en-US"/>
        </w:rPr>
        <w:t xml:space="preserve">, Dan Liu </w:t>
      </w:r>
      <w:r>
        <w:rPr>
          <w:sz w:val="22"/>
          <w:szCs w:val="22"/>
          <w:vertAlign w:val="superscript"/>
          <w:lang w:val="en-US" w:eastAsia="zh-CN"/>
        </w:rPr>
        <w:t xml:space="preserve">a, </w:t>
      </w:r>
      <w:r>
        <w:rPr>
          <w:sz w:val="22"/>
          <w:szCs w:val="22"/>
          <w:vertAlign w:val="superscript"/>
          <w:lang w:val="en-US"/>
        </w:rPr>
        <w:t>*</w:t>
      </w:r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Shu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Shen</w:t>
      </w:r>
      <w:proofErr w:type="spellEnd"/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vertAlign w:val="superscript"/>
          <w:lang w:val="en-US" w:eastAsia="zh-CN"/>
        </w:rPr>
        <w:t xml:space="preserve">b, </w:t>
      </w:r>
      <w:r>
        <w:rPr>
          <w:sz w:val="22"/>
          <w:szCs w:val="22"/>
          <w:vertAlign w:val="superscript"/>
          <w:lang w:val="en-US"/>
        </w:rPr>
        <w:t>*</w:t>
      </w:r>
      <w:r>
        <w:rPr>
          <w:sz w:val="22"/>
          <w:szCs w:val="22"/>
          <w:lang w:val="en-US" w:eastAsia="zh-CN"/>
        </w:rPr>
        <w:t xml:space="preserve">, </w:t>
      </w:r>
      <w:proofErr w:type="spellStart"/>
      <w:r>
        <w:rPr>
          <w:sz w:val="22"/>
          <w:szCs w:val="22"/>
          <w:lang w:val="en-US" w:eastAsia="zh-CN"/>
        </w:rPr>
        <w:t>Banghua</w:t>
      </w:r>
      <w:proofErr w:type="spellEnd"/>
      <w:r>
        <w:rPr>
          <w:sz w:val="22"/>
          <w:szCs w:val="22"/>
          <w:lang w:val="en-US" w:eastAsia="zh-CN"/>
        </w:rPr>
        <w:t xml:space="preserve"> Chen </w:t>
      </w:r>
      <w:r>
        <w:rPr>
          <w:sz w:val="22"/>
          <w:szCs w:val="22"/>
          <w:vertAlign w:val="superscript"/>
          <w:lang w:val="en-US" w:eastAsia="zh-CN"/>
        </w:rPr>
        <w:t>c, *</w:t>
      </w:r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Xiaoli</w:t>
      </w:r>
      <w:proofErr w:type="spellEnd"/>
      <w:r>
        <w:rPr>
          <w:sz w:val="22"/>
          <w:szCs w:val="22"/>
          <w:lang w:val="en-US"/>
        </w:rPr>
        <w:t xml:space="preserve"> Wu </w:t>
      </w:r>
      <w:r>
        <w:rPr>
          <w:sz w:val="22"/>
          <w:szCs w:val="22"/>
          <w:vertAlign w:val="superscript"/>
          <w:lang w:val="en-US" w:eastAsia="zh-CN"/>
        </w:rPr>
        <w:t xml:space="preserve">b, </w:t>
      </w:r>
      <w:r>
        <w:rPr>
          <w:sz w:val="22"/>
          <w:szCs w:val="22"/>
          <w:vertAlign w:val="superscript"/>
          <w:lang w:val="en-US"/>
        </w:rPr>
        <w:t>*</w:t>
      </w:r>
    </w:p>
    <w:p w:rsidR="00A7468A" w:rsidRDefault="00A7468A">
      <w:pPr>
        <w:rPr>
          <w:sz w:val="22"/>
        </w:rPr>
      </w:pPr>
    </w:p>
    <w:p w:rsidR="00A7468A" w:rsidRDefault="00F65489">
      <w:pPr>
        <w:pStyle w:val="Affiliation"/>
        <w:adjustRightInd w:val="0"/>
        <w:snapToGrid w:val="0"/>
        <w:spacing w:before="0"/>
        <w:jc w:val="both"/>
        <w:rPr>
          <w:i w:val="0"/>
          <w:iCs/>
          <w:sz w:val="22"/>
          <w:szCs w:val="22"/>
          <w:lang w:val="en-US"/>
        </w:rPr>
      </w:pPr>
      <w:proofErr w:type="gramStart"/>
      <w:r>
        <w:rPr>
          <w:i w:val="0"/>
          <w:iCs/>
          <w:sz w:val="22"/>
          <w:szCs w:val="22"/>
          <w:vertAlign w:val="superscript"/>
          <w:lang w:val="en-US" w:eastAsia="zh-CN"/>
        </w:rPr>
        <w:t>a</w:t>
      </w:r>
      <w:proofErr w:type="gramEnd"/>
      <w:r>
        <w:rPr>
          <w:sz w:val="22"/>
          <w:szCs w:val="22"/>
        </w:rPr>
        <w:t xml:space="preserve"> </w:t>
      </w:r>
      <w:r>
        <w:rPr>
          <w:i w:val="0"/>
          <w:iCs/>
          <w:sz w:val="22"/>
          <w:szCs w:val="22"/>
          <w:lang w:val="en-US"/>
        </w:rPr>
        <w:t>Brain Science and Advanced Technology Institute, Wuhan University of Science and Technology, Wuhan 430065, China</w:t>
      </w:r>
    </w:p>
    <w:p w:rsidR="00A7468A" w:rsidRDefault="00F65489">
      <w:pPr>
        <w:pStyle w:val="Affiliation"/>
        <w:adjustRightInd w:val="0"/>
        <w:snapToGrid w:val="0"/>
        <w:spacing w:before="0"/>
        <w:jc w:val="both"/>
        <w:rPr>
          <w:i w:val="0"/>
          <w:iCs/>
          <w:sz w:val="22"/>
          <w:szCs w:val="22"/>
          <w:lang w:val="en-US"/>
        </w:rPr>
      </w:pPr>
      <w:r>
        <w:rPr>
          <w:i w:val="0"/>
          <w:iCs/>
          <w:sz w:val="22"/>
          <w:szCs w:val="22"/>
          <w:vertAlign w:val="superscript"/>
          <w:lang w:val="en-US" w:eastAsia="zh-CN"/>
        </w:rPr>
        <w:t>b</w:t>
      </w:r>
      <w:r>
        <w:rPr>
          <w:sz w:val="22"/>
          <w:szCs w:val="22"/>
        </w:rPr>
        <w:t xml:space="preserve"> </w:t>
      </w:r>
      <w:r>
        <w:rPr>
          <w:i w:val="0"/>
          <w:iCs/>
          <w:sz w:val="22"/>
          <w:szCs w:val="22"/>
          <w:lang w:val="en-US"/>
        </w:rPr>
        <w:t>State Key Laboratory of Virology and Biosafety and National Virus Resource Center, Wuhan Institute of Virology, Chinese Academy of Sciences, Wuhan 430071, China</w:t>
      </w:r>
    </w:p>
    <w:p w:rsidR="00A7468A" w:rsidRDefault="00F65489">
      <w:pPr>
        <w:pStyle w:val="Affiliation"/>
        <w:adjustRightInd w:val="0"/>
        <w:snapToGrid w:val="0"/>
        <w:spacing w:before="0"/>
        <w:jc w:val="both"/>
        <w:rPr>
          <w:i w:val="0"/>
          <w:iCs/>
          <w:sz w:val="22"/>
          <w:szCs w:val="22"/>
          <w:lang w:val="en-US" w:eastAsia="zh-CN"/>
        </w:rPr>
      </w:pPr>
      <w:proofErr w:type="gramStart"/>
      <w:r>
        <w:rPr>
          <w:i w:val="0"/>
          <w:iCs/>
          <w:sz w:val="22"/>
          <w:szCs w:val="22"/>
          <w:vertAlign w:val="superscript"/>
          <w:lang w:val="en-US" w:eastAsia="zh-CN"/>
        </w:rPr>
        <w:t>c</w:t>
      </w:r>
      <w:proofErr w:type="gramEnd"/>
      <w:r>
        <w:rPr>
          <w:sz w:val="22"/>
          <w:szCs w:val="22"/>
        </w:rPr>
        <w:t xml:space="preserve"> </w:t>
      </w:r>
      <w:r>
        <w:rPr>
          <w:i w:val="0"/>
          <w:iCs/>
          <w:sz w:val="22"/>
          <w:szCs w:val="22"/>
          <w:lang w:val="en-US" w:eastAsia="zh-CN"/>
        </w:rPr>
        <w:t>Wuhan Centers for Disease Control and Prevention, Wuhan 430021, China</w:t>
      </w:r>
    </w:p>
    <w:p w:rsidR="00A7468A" w:rsidRDefault="00F65489">
      <w:pPr>
        <w:pStyle w:val="Affiliation"/>
        <w:adjustRightInd w:val="0"/>
        <w:snapToGrid w:val="0"/>
        <w:spacing w:before="0"/>
        <w:jc w:val="both"/>
        <w:rPr>
          <w:i w:val="0"/>
          <w:iCs/>
          <w:sz w:val="22"/>
          <w:szCs w:val="22"/>
          <w:lang w:val="en-US" w:eastAsia="zh-CN"/>
        </w:rPr>
      </w:pPr>
      <w:proofErr w:type="gramStart"/>
      <w:r>
        <w:rPr>
          <w:i w:val="0"/>
          <w:iCs/>
          <w:sz w:val="22"/>
          <w:szCs w:val="22"/>
          <w:vertAlign w:val="superscript"/>
          <w:lang w:val="en-US" w:eastAsia="zh-CN"/>
        </w:rPr>
        <w:t>d</w:t>
      </w:r>
      <w:proofErr w:type="gramEnd"/>
      <w:r>
        <w:rPr>
          <w:sz w:val="22"/>
          <w:szCs w:val="22"/>
        </w:rPr>
        <w:t xml:space="preserve"> </w:t>
      </w:r>
      <w:r>
        <w:rPr>
          <w:i w:val="0"/>
          <w:iCs/>
          <w:sz w:val="22"/>
          <w:szCs w:val="22"/>
          <w:lang w:val="en-US" w:eastAsia="zh-CN"/>
        </w:rPr>
        <w:t>Hubei Provincial Center for Disease Control and Prevention, Wuhan 430079, China</w:t>
      </w:r>
    </w:p>
    <w:p w:rsidR="00A7468A" w:rsidRDefault="00F65489">
      <w:pPr>
        <w:pStyle w:val="Affiliation"/>
        <w:adjustRightInd w:val="0"/>
        <w:snapToGrid w:val="0"/>
        <w:spacing w:before="0"/>
        <w:jc w:val="both"/>
        <w:rPr>
          <w:i w:val="0"/>
          <w:iCs/>
          <w:sz w:val="22"/>
          <w:szCs w:val="22"/>
          <w:lang w:val="en-US" w:eastAsia="zh-CN"/>
        </w:rPr>
      </w:pPr>
      <w:proofErr w:type="gramStart"/>
      <w:r>
        <w:rPr>
          <w:i w:val="0"/>
          <w:iCs/>
          <w:sz w:val="22"/>
          <w:szCs w:val="22"/>
          <w:vertAlign w:val="superscript"/>
          <w:lang w:val="en-US" w:eastAsia="zh-CN"/>
        </w:rPr>
        <w:t>e</w:t>
      </w:r>
      <w:proofErr w:type="gramEnd"/>
      <w:r>
        <w:rPr>
          <w:sz w:val="22"/>
          <w:szCs w:val="22"/>
        </w:rPr>
        <w:t xml:space="preserve"> </w:t>
      </w:r>
      <w:r>
        <w:rPr>
          <w:i w:val="0"/>
          <w:iCs/>
          <w:sz w:val="22"/>
          <w:szCs w:val="22"/>
          <w:lang w:val="en-US" w:eastAsia="zh-CN"/>
        </w:rPr>
        <w:t>College of Public Health, Chongqing Medical University, Chongqing 401331, China.</w:t>
      </w:r>
    </w:p>
    <w:p w:rsidR="00A7468A" w:rsidRDefault="00F65489">
      <w:pPr>
        <w:pStyle w:val="Affiliation"/>
        <w:adjustRightInd w:val="0"/>
        <w:snapToGrid w:val="0"/>
        <w:spacing w:before="0"/>
        <w:jc w:val="both"/>
        <w:rPr>
          <w:i w:val="0"/>
          <w:iCs/>
          <w:sz w:val="22"/>
          <w:szCs w:val="22"/>
          <w:lang w:val="en-US" w:eastAsia="zh-CN"/>
        </w:rPr>
      </w:pPr>
      <w:proofErr w:type="gramStart"/>
      <w:r>
        <w:rPr>
          <w:i w:val="0"/>
          <w:iCs/>
          <w:sz w:val="22"/>
          <w:szCs w:val="22"/>
          <w:vertAlign w:val="superscript"/>
          <w:lang w:val="en-US" w:eastAsia="zh-CN"/>
        </w:rPr>
        <w:t>f</w:t>
      </w:r>
      <w:proofErr w:type="gramEnd"/>
      <w:r>
        <w:rPr>
          <w:sz w:val="22"/>
          <w:szCs w:val="22"/>
        </w:rPr>
        <w:t xml:space="preserve"> </w:t>
      </w:r>
      <w:r>
        <w:rPr>
          <w:i w:val="0"/>
          <w:iCs/>
          <w:sz w:val="22"/>
          <w:szCs w:val="22"/>
          <w:lang w:val="en-US" w:eastAsia="zh-CN"/>
        </w:rPr>
        <w:t>Chongqing Center for Disease Control and Prevention, Chongqing Academy of Preventive Medicine, Chongqing 400707, China.</w:t>
      </w:r>
    </w:p>
    <w:p w:rsidR="00A7468A" w:rsidRDefault="00A7468A">
      <w:pPr>
        <w:pStyle w:val="Affiliation"/>
        <w:adjustRightInd w:val="0"/>
        <w:snapToGrid w:val="0"/>
        <w:spacing w:before="0"/>
        <w:jc w:val="both"/>
        <w:rPr>
          <w:i w:val="0"/>
          <w:iCs/>
          <w:sz w:val="22"/>
          <w:szCs w:val="22"/>
          <w:lang w:val="en-US" w:eastAsia="zh-CN"/>
        </w:rPr>
      </w:pPr>
    </w:p>
    <w:p w:rsidR="00A7468A" w:rsidRDefault="00F65489">
      <w:pPr>
        <w:pStyle w:val="Affiliation"/>
        <w:adjustRightInd w:val="0"/>
        <w:snapToGrid w:val="0"/>
        <w:spacing w:before="0"/>
        <w:jc w:val="both"/>
        <w:rPr>
          <w:i w:val="0"/>
          <w:iCs/>
          <w:sz w:val="22"/>
          <w:szCs w:val="22"/>
          <w:lang w:val="en-US" w:eastAsia="zh-CN"/>
        </w:rPr>
      </w:pPr>
      <w:r>
        <w:rPr>
          <w:i w:val="0"/>
          <w:iCs/>
          <w:sz w:val="22"/>
          <w:szCs w:val="22"/>
          <w:lang w:val="en-US" w:eastAsia="zh-CN"/>
        </w:rPr>
        <w:t>*Corresponding author</w:t>
      </w:r>
    </w:p>
    <w:p w:rsidR="00A7468A" w:rsidRDefault="00F65489">
      <w:pPr>
        <w:pStyle w:val="Affiliation"/>
        <w:adjustRightInd w:val="0"/>
        <w:snapToGrid w:val="0"/>
        <w:spacing w:before="0"/>
        <w:jc w:val="both"/>
        <w:rPr>
          <w:i w:val="0"/>
          <w:iCs/>
          <w:sz w:val="22"/>
          <w:szCs w:val="22"/>
          <w:lang w:val="en-US" w:eastAsia="zh-CN"/>
        </w:rPr>
      </w:pPr>
      <w:r>
        <w:rPr>
          <w:i w:val="0"/>
          <w:iCs/>
          <w:sz w:val="22"/>
          <w:szCs w:val="22"/>
          <w:lang w:val="en-US" w:eastAsia="zh-CN"/>
        </w:rPr>
        <w:t xml:space="preserve">Email addresses: liudan125@wust.edu.cn (D. Liu); shenshu@wh.iov.cn (S. </w:t>
      </w:r>
      <w:proofErr w:type="spellStart"/>
      <w:r>
        <w:rPr>
          <w:i w:val="0"/>
          <w:iCs/>
          <w:sz w:val="22"/>
          <w:szCs w:val="22"/>
          <w:lang w:val="en-US" w:eastAsia="zh-CN"/>
        </w:rPr>
        <w:t>Shen</w:t>
      </w:r>
      <w:proofErr w:type="spellEnd"/>
      <w:r>
        <w:rPr>
          <w:i w:val="0"/>
          <w:iCs/>
          <w:sz w:val="22"/>
          <w:szCs w:val="22"/>
          <w:lang w:val="en-US" w:eastAsia="zh-CN"/>
        </w:rPr>
        <w:t>); chenbanghua@163.com (</w:t>
      </w:r>
      <w:r>
        <w:rPr>
          <w:rFonts w:hint="eastAsia"/>
          <w:i w:val="0"/>
          <w:iCs/>
          <w:sz w:val="22"/>
          <w:szCs w:val="22"/>
          <w:lang w:val="en-US" w:eastAsia="zh-CN"/>
        </w:rPr>
        <w:t>B</w:t>
      </w:r>
      <w:r>
        <w:rPr>
          <w:i w:val="0"/>
          <w:iCs/>
          <w:sz w:val="22"/>
          <w:szCs w:val="22"/>
          <w:lang w:val="en-US" w:eastAsia="zh-CN"/>
        </w:rPr>
        <w:t>.</w:t>
      </w:r>
      <w:r>
        <w:rPr>
          <w:rFonts w:hint="eastAsia"/>
          <w:i w:val="0"/>
          <w:iCs/>
          <w:sz w:val="22"/>
          <w:szCs w:val="22"/>
          <w:lang w:val="en-US" w:eastAsia="zh-CN"/>
        </w:rPr>
        <w:t xml:space="preserve"> Chen);</w:t>
      </w:r>
      <w:r>
        <w:rPr>
          <w:i w:val="0"/>
          <w:iCs/>
          <w:sz w:val="22"/>
          <w:szCs w:val="22"/>
          <w:lang w:val="en-US" w:eastAsia="zh-CN"/>
        </w:rPr>
        <w:t xml:space="preserve"> wxl@wh.iov.cn (X. Wu)</w:t>
      </w:r>
    </w:p>
    <w:p w:rsidR="00A7468A" w:rsidRDefault="00F65489">
      <w:pPr>
        <w:pStyle w:val="Affiliation"/>
        <w:adjustRightInd w:val="0"/>
        <w:snapToGrid w:val="0"/>
        <w:spacing w:before="0"/>
        <w:jc w:val="both"/>
        <w:rPr>
          <w:i w:val="0"/>
          <w:iCs/>
          <w:sz w:val="22"/>
          <w:szCs w:val="22"/>
          <w:lang w:val="en-US" w:eastAsia="zh-CN"/>
        </w:rPr>
      </w:pPr>
      <w:r>
        <w:rPr>
          <w:i w:val="0"/>
          <w:iCs/>
          <w:sz w:val="22"/>
          <w:szCs w:val="22"/>
          <w:lang w:val="en-US" w:eastAsia="zh-CN"/>
        </w:rPr>
        <w:t xml:space="preserve">ORCID: </w:t>
      </w:r>
      <w:r>
        <w:rPr>
          <w:rFonts w:eastAsia="宋体"/>
          <w:i w:val="0"/>
          <w:iCs/>
          <w:sz w:val="22"/>
          <w:szCs w:val="22"/>
          <w:lang w:val="en-US" w:eastAsia="zh-CN"/>
        </w:rPr>
        <w:t xml:space="preserve">0000-0001-6834-2363 (D. Liu); 0000-0002-0013-5365 (S. </w:t>
      </w:r>
      <w:proofErr w:type="spellStart"/>
      <w:r>
        <w:rPr>
          <w:rFonts w:eastAsia="宋体"/>
          <w:i w:val="0"/>
          <w:iCs/>
          <w:sz w:val="22"/>
          <w:szCs w:val="22"/>
          <w:lang w:val="en-US" w:eastAsia="zh-CN"/>
        </w:rPr>
        <w:t>Shen</w:t>
      </w:r>
      <w:proofErr w:type="spellEnd"/>
      <w:r>
        <w:rPr>
          <w:rFonts w:eastAsia="宋体"/>
          <w:i w:val="0"/>
          <w:iCs/>
          <w:sz w:val="22"/>
          <w:szCs w:val="22"/>
          <w:lang w:val="en-US" w:eastAsia="zh-CN"/>
        </w:rPr>
        <w:t>); 0009-0000-4921-5713 (</w:t>
      </w:r>
      <w:r>
        <w:rPr>
          <w:rFonts w:eastAsia="宋体" w:hint="eastAsia"/>
          <w:i w:val="0"/>
          <w:iCs/>
          <w:sz w:val="22"/>
          <w:szCs w:val="22"/>
          <w:lang w:val="en-US" w:eastAsia="zh-CN"/>
        </w:rPr>
        <w:t>B</w:t>
      </w:r>
      <w:r>
        <w:rPr>
          <w:rFonts w:eastAsia="宋体"/>
          <w:i w:val="0"/>
          <w:iCs/>
          <w:sz w:val="22"/>
          <w:szCs w:val="22"/>
          <w:lang w:val="en-US" w:eastAsia="zh-CN"/>
        </w:rPr>
        <w:t>.</w:t>
      </w:r>
      <w:r>
        <w:rPr>
          <w:rFonts w:eastAsia="宋体" w:hint="eastAsia"/>
          <w:i w:val="0"/>
          <w:iCs/>
          <w:sz w:val="22"/>
          <w:szCs w:val="22"/>
          <w:lang w:val="en-US" w:eastAsia="zh-CN"/>
        </w:rPr>
        <w:t xml:space="preserve"> Chen);</w:t>
      </w:r>
      <w:r>
        <w:rPr>
          <w:rFonts w:eastAsia="宋体"/>
          <w:i w:val="0"/>
          <w:iCs/>
          <w:sz w:val="22"/>
          <w:szCs w:val="22"/>
          <w:lang w:val="en-US" w:eastAsia="zh-CN"/>
        </w:rPr>
        <w:t xml:space="preserve"> 0009-0003-6269-356X (X. Wu)</w:t>
      </w:r>
    </w:p>
    <w:p w:rsidR="00A7468A" w:rsidRDefault="00A7468A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7468A" w:rsidRDefault="00A7468A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  <w:sectPr w:rsidR="00A7468A" w:rsidSect="0033497F">
          <w:headerReference w:type="default" r:id="rId7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A7468A" w:rsidRDefault="00F65489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Materials and Methods</w:t>
      </w:r>
    </w:p>
    <w:p w:rsidR="00A7468A" w:rsidRDefault="00F65489">
      <w:pPr>
        <w:spacing w:line="480" w:lineRule="auto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Testing of ticks and patient serum samples</w:t>
      </w:r>
    </w:p>
    <w:p w:rsidR="00A7468A" w:rsidRDefault="00F65489">
      <w:pPr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Tick and patient serum samples were processed as previously described </w:t>
      </w:r>
      <w:r>
        <w:rPr>
          <w:rFonts w:ascii="Times New Roman" w:eastAsia="宋体" w:hAnsi="Times New Roman" w:cs="Times New Roman"/>
          <w:sz w:val="22"/>
        </w:rPr>
        <w:fldChar w:fldCharType="begin"/>
      </w:r>
      <w:r>
        <w:rPr>
          <w:rFonts w:ascii="Times New Roman" w:eastAsia="宋体" w:hAnsi="Times New Roman" w:cs="Times New Roman"/>
          <w:sz w:val="22"/>
        </w:rPr>
        <w:instrText xml:space="preserve"> ADDIN ZOTERO_ITEM CSL_CITATION {"citationID":"nU3rrAnu","properties":{"formattedCitation":"(Xiao et al., 2024)","plainCitation":"(Xiao et al., 2024)","noteIndex":0},"citationItems":[{"id":264,"uris":["http://zotero.org/users/local/vtl4ievV/items/JYSLXR47"],"itemData":{"id":264,"type":"article-journal","container-title":"Virologica Sinica","DOI":"10.1016/j.virs.2024.02.003","ISSN":"1995820X","issue":"2","journalAbbreviation":"Virologica Sinica","language":"en","page":"194-204","source":"DOI.org (Crossref)","title":"Viromes of Haemaphysalis longicornis reveal different viral abundance and diversity in free and engorged ticks","volume":"39","author":[{"family":"Xiao","given":"Jian"},{"family":"Yao","given":"Xuan"},{"family":"Guan","given":"Xuhua"},{"family":"Xiong","given":"Jinfeng"},{"family":"Fang","given":"Yaohui"},{"family":"Zhang","given":"Jingyuan"},{"family":"Zhang","given":"You"},{"family":"Moming","given":"Abulimiti"},{"family":"Su","given":"Zhengyuan"},{"family":"Jin","given":"Jiayin"},{"family":"Ge","given":"Yingying"},{"family":"Wang","given":"Jun"},{"family":"Fan","given":"Zhaojun"},{"family":"Tang","given":"Shuang"},{"family":"Shen","given":"Shu"},{"family":"Deng","given":"Fei"}],"issued":{"date-parts":[["2024",4]]}}}],"schema":"https://github.com/citation-style-language/schema/raw/master/csl-citation.json"} </w:instrText>
      </w:r>
      <w:r>
        <w:rPr>
          <w:rFonts w:ascii="Times New Roman" w:eastAsia="宋体" w:hAnsi="Times New Roman" w:cs="Times New Roman"/>
          <w:sz w:val="22"/>
        </w:rPr>
        <w:fldChar w:fldCharType="separate"/>
      </w:r>
      <w:r>
        <w:rPr>
          <w:rFonts w:ascii="Times New Roman" w:hAnsi="Times New Roman" w:cs="Times New Roman"/>
          <w:sz w:val="22"/>
        </w:rPr>
        <w:t>(Xiao et al., 2024)</w:t>
      </w:r>
      <w:r>
        <w:rPr>
          <w:rFonts w:ascii="Times New Roman" w:eastAsia="宋体" w:hAnsi="Times New Roman" w:cs="Times New Roman"/>
          <w:sz w:val="22"/>
        </w:rPr>
        <w:fldChar w:fldCharType="end"/>
      </w:r>
      <w:r>
        <w:rPr>
          <w:rFonts w:ascii="Times New Roman" w:eastAsia="宋体" w:hAnsi="Times New Roman" w:cs="Times New Roman"/>
          <w:sz w:val="22"/>
        </w:rPr>
        <w:t xml:space="preserve">. Briefly, ticks were </w:t>
      </w:r>
      <w:proofErr w:type="spellStart"/>
      <w:r>
        <w:rPr>
          <w:rFonts w:ascii="Times New Roman" w:eastAsia="宋体" w:hAnsi="Times New Roman" w:cs="Times New Roman"/>
          <w:sz w:val="22"/>
        </w:rPr>
        <w:t>homogenised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and clarified by centrifugation at 5,000 ×</w:t>
      </w:r>
      <w:r>
        <w:rPr>
          <w:rFonts w:ascii="Times New Roman" w:eastAsia="宋体" w:hAnsi="Times New Roman" w:cs="Times New Roman"/>
          <w:i/>
          <w:sz w:val="22"/>
        </w:rPr>
        <w:t xml:space="preserve">g </w:t>
      </w:r>
      <w:r>
        <w:rPr>
          <w:rFonts w:ascii="Times New Roman" w:eastAsia="宋体" w:hAnsi="Times New Roman" w:cs="Times New Roman"/>
          <w:sz w:val="22"/>
        </w:rPr>
        <w:t xml:space="preserve">for 5 min at 4 °C. Total viral RNA was extracted from 200 µL of tick homogenate supernatant or 200 µL of patient serum using the </w:t>
      </w:r>
      <w:proofErr w:type="spellStart"/>
      <w:r>
        <w:rPr>
          <w:rFonts w:ascii="Times New Roman" w:eastAsia="宋体" w:hAnsi="Times New Roman" w:cs="Times New Roman"/>
          <w:sz w:val="22"/>
        </w:rPr>
        <w:t>MiniBEST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Viral RNA/DNA Extraction Kit Ver.5.0 (Takara, Japan) according to the manufacturer’s instructions.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eastAsia="宋体" w:hAnsi="Times New Roman" w:cs="Times New Roman"/>
          <w:sz w:val="22"/>
        </w:rPr>
        <w:t xml:space="preserve">Reverse transcription was performed with the </w:t>
      </w:r>
      <w:proofErr w:type="spellStart"/>
      <w:r>
        <w:rPr>
          <w:rFonts w:ascii="Times New Roman" w:eastAsia="宋体" w:hAnsi="Times New Roman" w:cs="Times New Roman"/>
          <w:sz w:val="22"/>
        </w:rPr>
        <w:t>PrimeScript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™ II 1st Strand </w:t>
      </w:r>
      <w:proofErr w:type="spellStart"/>
      <w:r>
        <w:rPr>
          <w:rFonts w:ascii="Times New Roman" w:eastAsia="宋体" w:hAnsi="Times New Roman" w:cs="Times New Roman"/>
          <w:sz w:val="22"/>
        </w:rPr>
        <w:t>cDNA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Synthesis Kit (Takara, Shiga, Japan). Nested PCR targeting the S segment of SFTSV and NSDV was carried out using 2 × </w:t>
      </w:r>
      <w:proofErr w:type="spellStart"/>
      <w:r>
        <w:rPr>
          <w:rFonts w:ascii="Times New Roman" w:eastAsia="宋体" w:hAnsi="Times New Roman" w:cs="Times New Roman"/>
          <w:sz w:val="22"/>
        </w:rPr>
        <w:t>Phanta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Flash Master Mix (Dye Plus) (</w:t>
      </w:r>
      <w:proofErr w:type="spellStart"/>
      <w:r>
        <w:rPr>
          <w:rFonts w:ascii="Times New Roman" w:eastAsia="宋体" w:hAnsi="Times New Roman" w:cs="Times New Roman"/>
          <w:sz w:val="22"/>
        </w:rPr>
        <w:t>Vazyme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, Nanjing, China); primer sequences are listed in </w:t>
      </w:r>
      <w:r>
        <w:rPr>
          <w:rFonts w:ascii="Times New Roman" w:eastAsia="宋体" w:hAnsi="Times New Roman" w:cs="Times New Roman"/>
          <w:b/>
          <w:sz w:val="22"/>
        </w:rPr>
        <w:t>Supplementary Table S3</w:t>
      </w:r>
      <w:r>
        <w:rPr>
          <w:rFonts w:ascii="Times New Roman" w:eastAsia="宋体" w:hAnsi="Times New Roman" w:cs="Times New Roman"/>
          <w:sz w:val="22"/>
        </w:rPr>
        <w:t>.</w:t>
      </w:r>
    </w:p>
    <w:p w:rsidR="00A7468A" w:rsidRDefault="00F65489">
      <w:pPr>
        <w:spacing w:line="480" w:lineRule="auto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Whole-genome sequencing and phylogenetic inference</w:t>
      </w:r>
    </w:p>
    <w:p w:rsidR="00A7468A" w:rsidRDefault="00F65489">
      <w:pPr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>Purified RNA was used to construct libraries with the VAHTS Universal V8 RNA-</w:t>
      </w:r>
      <w:proofErr w:type="spellStart"/>
      <w:r>
        <w:rPr>
          <w:rFonts w:ascii="Times New Roman" w:eastAsia="宋体" w:hAnsi="Times New Roman" w:cs="Times New Roman"/>
          <w:sz w:val="22"/>
        </w:rPr>
        <w:t>seq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Library Prep Kit for </w:t>
      </w:r>
      <w:proofErr w:type="spellStart"/>
      <w:r>
        <w:rPr>
          <w:rFonts w:ascii="Times New Roman" w:eastAsia="宋体" w:hAnsi="Times New Roman" w:cs="Times New Roman"/>
          <w:sz w:val="22"/>
        </w:rPr>
        <w:t>Illumina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(</w:t>
      </w:r>
      <w:proofErr w:type="spellStart"/>
      <w:r>
        <w:rPr>
          <w:rFonts w:ascii="Times New Roman" w:eastAsia="宋体" w:hAnsi="Times New Roman" w:cs="Times New Roman"/>
          <w:sz w:val="22"/>
        </w:rPr>
        <w:t>Vazyme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, Nanjing, China). Paired-end (2 × 150 </w:t>
      </w:r>
      <w:proofErr w:type="spellStart"/>
      <w:r>
        <w:rPr>
          <w:rFonts w:ascii="Times New Roman" w:eastAsia="宋体" w:hAnsi="Times New Roman" w:cs="Times New Roman"/>
          <w:sz w:val="22"/>
        </w:rPr>
        <w:t>bp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) sequencing was performed on an </w:t>
      </w:r>
      <w:proofErr w:type="spellStart"/>
      <w:r>
        <w:rPr>
          <w:rFonts w:ascii="Times New Roman" w:eastAsia="宋体" w:hAnsi="Times New Roman" w:cs="Times New Roman"/>
          <w:sz w:val="22"/>
        </w:rPr>
        <w:t>Illumina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宋体" w:hAnsi="Times New Roman" w:cs="Times New Roman"/>
          <w:sz w:val="22"/>
        </w:rPr>
        <w:t>NovaSeq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6000 platform. Complete genomic segments were edited and aligned in Notepad++. Maximum-likelihood (ML) phylogenetic trees were inferred with </w:t>
      </w:r>
      <w:proofErr w:type="spellStart"/>
      <w:r>
        <w:rPr>
          <w:rFonts w:ascii="Times New Roman" w:eastAsia="宋体" w:hAnsi="Times New Roman" w:cs="Times New Roman"/>
          <w:sz w:val="22"/>
        </w:rPr>
        <w:t>phyloSuite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v1.2.3 under the best-fit substitution model selected by </w:t>
      </w:r>
      <w:proofErr w:type="spellStart"/>
      <w:r>
        <w:rPr>
          <w:rFonts w:ascii="Times New Roman" w:eastAsia="宋体" w:hAnsi="Times New Roman" w:cs="Times New Roman"/>
          <w:sz w:val="22"/>
        </w:rPr>
        <w:t>ModelFinder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; branch support was evaluated with 1,000 bootstrap replicates. Trees were </w:t>
      </w:r>
      <w:proofErr w:type="spellStart"/>
      <w:r>
        <w:rPr>
          <w:rFonts w:ascii="Times New Roman" w:eastAsia="宋体" w:hAnsi="Times New Roman" w:cs="Times New Roman"/>
          <w:sz w:val="22"/>
        </w:rPr>
        <w:t>visualised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and annotated in </w:t>
      </w:r>
      <w:proofErr w:type="spellStart"/>
      <w:r>
        <w:rPr>
          <w:rFonts w:ascii="Times New Roman" w:eastAsia="宋体" w:hAnsi="Times New Roman" w:cs="Times New Roman"/>
          <w:sz w:val="22"/>
        </w:rPr>
        <w:t>FigTree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v1.4.4. </w:t>
      </w:r>
    </w:p>
    <w:p w:rsidR="00A7468A" w:rsidRDefault="00F65489">
      <w:pPr>
        <w:spacing w:line="480" w:lineRule="auto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Antibody testing for SFTSV and NSDV</w:t>
      </w:r>
    </w:p>
    <w:p w:rsidR="00A7468A" w:rsidRDefault="00F65489">
      <w:pPr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Vero and Vero E6 Cells infected with 1 multiplicity of infection (MOI) SFTSV and NSDV were used as antigens. For the immunofluorescence assay (IFA), sera were diluted 1:20 in phosphate-buffered saline and applied as the primary antibody and Goat anti-human </w:t>
      </w:r>
      <w:proofErr w:type="spellStart"/>
      <w:r>
        <w:rPr>
          <w:rFonts w:ascii="Times New Roman" w:eastAsia="宋体" w:hAnsi="Times New Roman" w:cs="Times New Roman"/>
          <w:sz w:val="22"/>
        </w:rPr>
        <w:t>IgG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H&amp;L (</w:t>
      </w:r>
      <w:proofErr w:type="spellStart"/>
      <w:r>
        <w:rPr>
          <w:rFonts w:ascii="Times New Roman" w:eastAsia="宋体" w:hAnsi="Times New Roman" w:cs="Times New Roman"/>
          <w:sz w:val="22"/>
        </w:rPr>
        <w:t>DyLight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® 488) or goat anti-human </w:t>
      </w:r>
      <w:proofErr w:type="spellStart"/>
      <w:r>
        <w:rPr>
          <w:rFonts w:ascii="Times New Roman" w:eastAsia="宋体" w:hAnsi="Times New Roman" w:cs="Times New Roman"/>
          <w:sz w:val="22"/>
        </w:rPr>
        <w:t>IgM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H&amp;L (FITC) (</w:t>
      </w:r>
      <w:proofErr w:type="spellStart"/>
      <w:r>
        <w:rPr>
          <w:rFonts w:ascii="Times New Roman" w:eastAsia="宋体" w:hAnsi="Times New Roman" w:cs="Times New Roman"/>
          <w:sz w:val="22"/>
        </w:rPr>
        <w:t>Abcam</w:t>
      </w:r>
      <w:proofErr w:type="spellEnd"/>
      <w:r>
        <w:rPr>
          <w:rFonts w:ascii="Times New Roman" w:eastAsia="宋体" w:hAnsi="Times New Roman" w:cs="Times New Roman"/>
          <w:sz w:val="22"/>
        </w:rPr>
        <w:t>, Shanghai, China) were used as secondary antibodies,</w:t>
      </w:r>
      <w:r>
        <w:rPr>
          <w:rFonts w:ascii="Times New Roman" w:eastAsia="宋体" w:hAnsi="Times New Roman" w:cs="Times New Roman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sz w:val="22"/>
        </w:rPr>
        <w:t xml:space="preserve">the steps as described in the previous study </w:t>
      </w:r>
      <w:r>
        <w:rPr>
          <w:rFonts w:ascii="Times New Roman" w:eastAsia="宋体" w:hAnsi="Times New Roman" w:cs="Times New Roman"/>
          <w:sz w:val="22"/>
        </w:rPr>
        <w:fldChar w:fldCharType="begin"/>
      </w:r>
      <w:r>
        <w:rPr>
          <w:rFonts w:ascii="Times New Roman" w:eastAsia="宋体" w:hAnsi="Times New Roman" w:cs="Times New Roman"/>
          <w:sz w:val="22"/>
        </w:rPr>
        <w:instrText xml:space="preserve"> ADDIN ZOTERO_ITEM CSL_CITATION {"citationID":"7JdRMQVf","properties":{"formattedCitation":"(Qian et al., 2023)","plainCitation":"(Qian et al., 2023)","noteIndex":0},"citationItems":[{"id":265,"uris":["http://zotero.org/users/local/vtl4ievV/items/3FC6HSW2"],"itemData":{"id":265,"type":"article-journal","container-title":"Brazilian Journal of Microbiology","DOI":"10.1007/s42770-023-00982-8","ISSN":"1517-8382, 1678-4405","issue":"3","journalAbbreviation":"Braz J Microbiol","language":"en","page":"1433-1445","source":"DOI.org (Crossref)","title":"Developing and characterizing monoclonal antibodies of Guertu bandavirus nucleoprotein for developing methods of Guertu bandavirus and severe fever with thrombocytopenia syndrome virus detection","volume":"54","author":[{"family":"Qian","given":"Jin"},{"family":"Fu","given":"Liyan"},{"family":"Wu","given":"Xiaoli"},{"family":"Wang","given":"Zhiying"},{"family":"Wang","given":"Hualin"},{"family":"Zeng","given":"Yan"},{"family":"Cheng","given":"Guirong"},{"family":"Deng","given":"Fei"},{"family":"Shen","given":"Shu"}],"issued":{"date-parts":[["2023",9]]}}}],"schema":"https://github.com/citation-style-language/schema/raw/master/csl-citation.json"} </w:instrText>
      </w:r>
      <w:r>
        <w:rPr>
          <w:rFonts w:ascii="Times New Roman" w:eastAsia="宋体" w:hAnsi="Times New Roman" w:cs="Times New Roman"/>
          <w:sz w:val="22"/>
        </w:rPr>
        <w:fldChar w:fldCharType="separate"/>
      </w:r>
      <w:r>
        <w:rPr>
          <w:rFonts w:ascii="Times New Roman" w:hAnsi="Times New Roman" w:cs="Times New Roman"/>
          <w:sz w:val="22"/>
        </w:rPr>
        <w:t>(Qian et al., 2023)</w:t>
      </w:r>
      <w:r>
        <w:rPr>
          <w:rFonts w:ascii="Times New Roman" w:eastAsia="宋体" w:hAnsi="Times New Roman" w:cs="Times New Roman"/>
          <w:sz w:val="22"/>
        </w:rPr>
        <w:fldChar w:fldCharType="end"/>
      </w:r>
      <w:r>
        <w:rPr>
          <w:rFonts w:ascii="Times New Roman" w:eastAsia="宋体" w:hAnsi="Times New Roman" w:cs="Times New Roman"/>
          <w:sz w:val="22"/>
        </w:rPr>
        <w:t>.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eastAsia="宋体" w:hAnsi="Times New Roman" w:cs="Times New Roman"/>
          <w:sz w:val="22"/>
        </w:rPr>
        <w:t>Cell nuclei were counterstained with Hoechst 33258 (</w:t>
      </w:r>
      <w:proofErr w:type="spellStart"/>
      <w:r>
        <w:rPr>
          <w:rFonts w:ascii="Times New Roman" w:eastAsia="宋体" w:hAnsi="Times New Roman" w:cs="Times New Roman"/>
          <w:sz w:val="22"/>
        </w:rPr>
        <w:t>Beyotime</w:t>
      </w:r>
      <w:proofErr w:type="spellEnd"/>
      <w:r>
        <w:rPr>
          <w:rFonts w:ascii="Times New Roman" w:eastAsia="宋体" w:hAnsi="Times New Roman" w:cs="Times New Roman"/>
          <w:sz w:val="22"/>
        </w:rPr>
        <w:t>, Shanghai, China). Images were acquired with an inverted fluorescence microscope (ECLIPSE TE2000-S; Nikon, Japan).</w:t>
      </w:r>
    </w:p>
    <w:p w:rsidR="00A7468A" w:rsidRDefault="00F65489">
      <w:pPr>
        <w:spacing w:line="480" w:lineRule="auto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Isolation of the virus from ticks and patient serum</w:t>
      </w:r>
    </w:p>
    <w:p w:rsidR="00A7468A" w:rsidRDefault="00F65489">
      <w:pPr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Tick homogenate supernatant was serially diluted 1:20 (v/v) in MEM containing 2% FBS and inoculated onto Vero and Vero E6 monolayers. After adsorption at 37 °C with 5% CO₂ for 2 h, the inoculum was removed and replaced with fresh medium. For patient-derived isolates, 50 µL of serum was applied to Vero E6 cells, which are susceptible to both SFTSV and NSDV. At each passage, infected cultures were </w:t>
      </w:r>
      <w:proofErr w:type="spellStart"/>
      <w:r>
        <w:rPr>
          <w:rFonts w:ascii="Times New Roman" w:eastAsia="宋体" w:hAnsi="Times New Roman" w:cs="Times New Roman"/>
          <w:sz w:val="22"/>
        </w:rPr>
        <w:t>trypsinized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and diluted threefold to initiate the subsequent passage.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eastAsia="宋体" w:hAnsi="Times New Roman" w:cs="Times New Roman"/>
          <w:sz w:val="22"/>
        </w:rPr>
        <w:t xml:space="preserve">Viral antigen was monitored every passage by IFA using a rabbit polyclonal antibody raised against recombinant NSDV nucleoprotein (NP). </w:t>
      </w:r>
    </w:p>
    <w:p w:rsidR="00A7468A" w:rsidRDefault="00F65489">
      <w:pPr>
        <w:spacing w:line="480" w:lineRule="auto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Purification and electron microscopy (EM) of tick-derived NSDV</w:t>
      </w:r>
    </w:p>
    <w:p w:rsidR="00A7468A" w:rsidRDefault="00F65489">
      <w:pPr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Culture supernatants were clarified and virus particles concentrated by ultracentrifugation through sucrose cushions; aliquots were applied to carbon-coated grids, negatively stained as previously described, and examined by transmission electron microscopy. For </w:t>
      </w:r>
      <w:proofErr w:type="spellStart"/>
      <w:r>
        <w:rPr>
          <w:rFonts w:ascii="Times New Roman" w:eastAsia="宋体" w:hAnsi="Times New Roman" w:cs="Times New Roman"/>
          <w:sz w:val="22"/>
        </w:rPr>
        <w:t>ultrastructural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studies, infected cells were fixed with 2.5% (w/v) </w:t>
      </w:r>
      <w:proofErr w:type="spellStart"/>
      <w:r>
        <w:rPr>
          <w:rFonts w:ascii="Times New Roman" w:eastAsia="宋体" w:hAnsi="Times New Roman" w:cs="Times New Roman"/>
          <w:sz w:val="22"/>
        </w:rPr>
        <w:t>glutaraldehyde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in 0.1 M sodium phosphate buffer, processed into ultra-thin sections, and observed under a transmission electron microscope.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eastAsia="宋体" w:hAnsi="Times New Roman" w:cs="Times New Roman"/>
          <w:sz w:val="22"/>
        </w:rPr>
        <w:t xml:space="preserve">Concentrate and purify viral particles from culture supernatants, collecting the fraction containing viral particles applied to grids for negative-staining EM as previously described </w:t>
      </w:r>
      <w:r>
        <w:rPr>
          <w:rFonts w:ascii="Times New Roman" w:eastAsia="宋体" w:hAnsi="Times New Roman" w:cs="Times New Roman"/>
          <w:sz w:val="22"/>
        </w:rPr>
        <w:fldChar w:fldCharType="begin"/>
      </w:r>
      <w:r>
        <w:rPr>
          <w:rFonts w:ascii="Times New Roman" w:eastAsia="宋体" w:hAnsi="Times New Roman" w:cs="Times New Roman"/>
          <w:sz w:val="22"/>
        </w:rPr>
        <w:instrText xml:space="preserve"> ADDIN ZOTERO_ITEM CSL_CITATION {"citationID":"V7ci1jfv","properties":{"formattedCitation":"(Zhang et al., 2017)","plainCitation":"(Zhang et al., 2017)","noteIndex":0},"citationItems":[{"id":257,"uris":["http://zotero.org/users/local/vtl4ievV/items/WQFVMGPU"],"itemData":{"id":257,"type":"article-journal","container-title":"Virologica Sinica","DOI":"10.1007/s12250-017-3953-3","ISSN":"1674-0769, 1995-820X","issue":"1","journalAbbreviation":"Virol. Sin.","language":"en","page":"89-96","source":"DOI.org (Crossref)","title":"Isolation, characterization, and phylogenic analysis of three new severe fever with thrombocytopenia syndrome bunyavirus strains derived from Hubei Province, China","volume":"32","author":[{"family":"Zhang","given":"Yanfang"},{"family":"Shen","given":"Shu"},{"family":"Shi","given":"Junming"},{"family":"Su","given":"Zhengyuan"},{"family":"Li","given":"Mingyue"},{"family":"Zhang","given":"Wenjing"},{"family":"Li","given":"Mengmeng"},{"family":"Hu","given":"Zhihong"},{"family":"Peng","given":"Cheng"},{"family":"Zheng","given":"Xin"},{"family":"Deng","given":"Fei"}],"issued":{"date-parts":[["2017",2]]}}}],"schema":"https://github.com/citation-style-language/schema/raw/master/csl-citation.json"} </w:instrText>
      </w:r>
      <w:r>
        <w:rPr>
          <w:rFonts w:ascii="Times New Roman" w:eastAsia="宋体" w:hAnsi="Times New Roman" w:cs="Times New Roman"/>
          <w:sz w:val="22"/>
        </w:rPr>
        <w:fldChar w:fldCharType="separate"/>
      </w:r>
      <w:r>
        <w:rPr>
          <w:rFonts w:ascii="Times New Roman" w:hAnsi="Times New Roman" w:cs="Times New Roman"/>
          <w:sz w:val="22"/>
        </w:rPr>
        <w:t>(Zhang et al., 2017)</w:t>
      </w:r>
      <w:r>
        <w:rPr>
          <w:rFonts w:ascii="Times New Roman" w:eastAsia="宋体" w:hAnsi="Times New Roman" w:cs="Times New Roman"/>
          <w:sz w:val="22"/>
        </w:rPr>
        <w:fldChar w:fldCharType="end"/>
      </w:r>
      <w:r>
        <w:rPr>
          <w:rFonts w:ascii="Times New Roman" w:eastAsia="宋体" w:hAnsi="Times New Roman" w:cs="Times New Roman"/>
          <w:sz w:val="22"/>
        </w:rPr>
        <w:t>.</w:t>
      </w:r>
      <w:r>
        <w:rPr>
          <w:rFonts w:ascii="Times New Roman" w:eastAsia="宋体" w:hAnsi="Times New Roman" w:cs="Times New Roman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sz w:val="22"/>
        </w:rPr>
        <w:t xml:space="preserve">Cells infected with </w:t>
      </w:r>
      <w:r>
        <w:rPr>
          <w:rFonts w:ascii="Times New Roman" w:hAnsi="Times New Roman" w:cs="Times New Roman"/>
          <w:sz w:val="22"/>
        </w:rPr>
        <w:t>tick-derived</w:t>
      </w:r>
      <w:r>
        <w:rPr>
          <w:rFonts w:ascii="Times New Roman" w:eastAsia="宋体" w:hAnsi="Times New Roman" w:cs="Times New Roman"/>
          <w:sz w:val="22"/>
        </w:rPr>
        <w:t xml:space="preserve"> NSDV were fixed in 0.1 M sodium phosphate buffer containing </w:t>
      </w:r>
      <w:r>
        <w:rPr>
          <w:rFonts w:ascii="Times New Roman" w:eastAsia="宋体" w:hAnsi="Times New Roman" w:cs="Times New Roman"/>
          <w:sz w:val="22"/>
        </w:rPr>
        <w:lastRenderedPageBreak/>
        <w:t xml:space="preserve">2.5% (w/v) </w:t>
      </w:r>
      <w:proofErr w:type="spellStart"/>
      <w:r>
        <w:rPr>
          <w:rFonts w:ascii="Times New Roman" w:eastAsia="宋体" w:hAnsi="Times New Roman" w:cs="Times New Roman"/>
          <w:sz w:val="22"/>
        </w:rPr>
        <w:t>glutaraldehyde</w:t>
      </w:r>
      <w:proofErr w:type="spellEnd"/>
      <w:r>
        <w:rPr>
          <w:rFonts w:ascii="Times New Roman" w:eastAsia="宋体" w:hAnsi="Times New Roman" w:cs="Times New Roman"/>
          <w:sz w:val="22"/>
        </w:rPr>
        <w:t>, and ultrathin sections were prepared. Viral particles within the cells were observed using a transmission electron microscope.</w:t>
      </w:r>
    </w:p>
    <w:p w:rsidR="00A7468A" w:rsidRDefault="00F65489">
      <w:pPr>
        <w:spacing w:line="480" w:lineRule="auto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Tick-derived NSDV strain GSN cell infection</w:t>
      </w:r>
    </w:p>
    <w:p w:rsidR="00A7468A" w:rsidRDefault="00F65489">
      <w:pPr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The tick-derived NSDV strain GSN could productively infect seven of human cell lines such as SH-SY5Y, U87-MG, 293, SW-13, A549, </w:t>
      </w:r>
      <w:proofErr w:type="spellStart"/>
      <w:r>
        <w:rPr>
          <w:rFonts w:ascii="Times New Roman" w:eastAsia="宋体" w:hAnsi="Times New Roman" w:cs="Times New Roman"/>
          <w:sz w:val="22"/>
        </w:rPr>
        <w:t>HeLa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and HepG2 and seven of animal cell lines such as Vero, Vero E6, DH82, MDCK, BHK-21, PK15 and MDBK tested (</w:t>
      </w:r>
      <w:r>
        <w:rPr>
          <w:rFonts w:ascii="Times New Roman" w:eastAsia="宋体" w:hAnsi="Times New Roman" w:cs="Times New Roman"/>
          <w:b/>
          <w:sz w:val="22"/>
        </w:rPr>
        <w:t>Supplementary Table S4</w:t>
      </w:r>
      <w:r>
        <w:rPr>
          <w:rFonts w:ascii="Times New Roman" w:eastAsia="宋体" w:hAnsi="Times New Roman" w:cs="Times New Roman"/>
          <w:sz w:val="22"/>
        </w:rPr>
        <w:t xml:space="preserve">). Cell lines used in this study were purchased from the American Type Culture Collection (ATCC) and numbers displayed at </w:t>
      </w:r>
      <w:r>
        <w:rPr>
          <w:rFonts w:ascii="Times New Roman" w:eastAsia="宋体" w:hAnsi="Times New Roman" w:cs="Times New Roman"/>
          <w:b/>
          <w:sz w:val="22"/>
        </w:rPr>
        <w:t>Supplementary</w:t>
      </w:r>
      <w:r>
        <w:rPr>
          <w:rFonts w:ascii="Times New Roman" w:eastAsia="宋体" w:hAnsi="Times New Roman" w:cs="Times New Roman"/>
          <w:sz w:val="22"/>
        </w:rPr>
        <w:t xml:space="preserve"> </w:t>
      </w:r>
      <w:r>
        <w:rPr>
          <w:rFonts w:ascii="Times New Roman" w:eastAsia="宋体" w:hAnsi="Times New Roman" w:cs="Times New Roman"/>
          <w:b/>
          <w:bCs/>
          <w:sz w:val="22"/>
        </w:rPr>
        <w:t>Table S4</w:t>
      </w:r>
      <w:r>
        <w:rPr>
          <w:rFonts w:ascii="Times New Roman" w:eastAsia="宋体" w:hAnsi="Times New Roman" w:cs="Times New Roman"/>
          <w:sz w:val="22"/>
        </w:rPr>
        <w:t xml:space="preserve">. Cells were infected with the NSDV GSN strain at 1 MOI and maintained at 37 °C. Viral infection was monitored by IFA using a rabbit polyclonal antibody against the nucleoprotein as the primary antibody. Goat anti-rabbit </w:t>
      </w:r>
      <w:proofErr w:type="spellStart"/>
      <w:r>
        <w:rPr>
          <w:rFonts w:ascii="Times New Roman" w:eastAsia="宋体" w:hAnsi="Times New Roman" w:cs="Times New Roman"/>
          <w:sz w:val="22"/>
        </w:rPr>
        <w:t>IgG</w:t>
      </w:r>
      <w:proofErr w:type="spellEnd"/>
      <w:r>
        <w:rPr>
          <w:rFonts w:ascii="Times New Roman" w:eastAsia="宋体" w:hAnsi="Times New Roman" w:cs="Times New Roman"/>
          <w:sz w:val="22"/>
        </w:rPr>
        <w:t xml:space="preserve"> H&amp;L (Alexa Fluor® 488) (</w:t>
      </w:r>
      <w:proofErr w:type="spellStart"/>
      <w:r>
        <w:rPr>
          <w:rFonts w:ascii="Times New Roman" w:eastAsia="宋体" w:hAnsi="Times New Roman" w:cs="Times New Roman"/>
          <w:sz w:val="22"/>
        </w:rPr>
        <w:t>Abcam</w:t>
      </w:r>
      <w:proofErr w:type="spellEnd"/>
      <w:r>
        <w:rPr>
          <w:rFonts w:ascii="Times New Roman" w:eastAsia="宋体" w:hAnsi="Times New Roman" w:cs="Times New Roman"/>
          <w:sz w:val="22"/>
        </w:rPr>
        <w:t>, Wuhan, China) was used as the secondary antibody.</w:t>
      </w:r>
    </w:p>
    <w:p w:rsidR="00A7468A" w:rsidRDefault="00A7468A">
      <w:pPr>
        <w:rPr>
          <w:rFonts w:ascii="Times New Roman" w:eastAsia="宋体" w:hAnsi="Times New Roman" w:cs="Times New Roman"/>
          <w:sz w:val="22"/>
        </w:rPr>
      </w:pPr>
    </w:p>
    <w:p w:rsidR="00A7468A" w:rsidRDefault="00A7468A">
      <w:pPr>
        <w:rPr>
          <w:rFonts w:ascii="Times New Roman" w:eastAsia="宋体" w:hAnsi="Times New Roman" w:cs="Times New Roman"/>
          <w:b/>
          <w:bCs/>
          <w:sz w:val="22"/>
        </w:rPr>
      </w:pPr>
    </w:p>
    <w:p w:rsidR="00A7468A" w:rsidRDefault="00F65489">
      <w:pPr>
        <w:pStyle w:val="Notesoncontributors"/>
        <w:adjustRightInd w:val="0"/>
        <w:snapToGrid w:val="0"/>
        <w:spacing w:before="0"/>
        <w:jc w:val="both"/>
        <w:rPr>
          <w:rFonts w:eastAsia="宋体"/>
          <w:b/>
          <w:bCs/>
          <w:color w:val="000000"/>
          <w:szCs w:val="22"/>
        </w:rPr>
      </w:pPr>
      <w:r>
        <w:rPr>
          <w:rFonts w:eastAsia="宋体"/>
          <w:b/>
          <w:bCs/>
          <w:color w:val="000000"/>
          <w:szCs w:val="22"/>
        </w:rPr>
        <w:t>REFERENCES</w:t>
      </w:r>
    </w:p>
    <w:p w:rsidR="00A7468A" w:rsidRDefault="00F65489">
      <w:pPr>
        <w:pStyle w:val="21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fldChar w:fldCharType="begin"/>
      </w:r>
      <w:r>
        <w:rPr>
          <w:rFonts w:ascii="Times New Roman" w:hAnsi="Times New Roman" w:cs="Times New Roman"/>
          <w:sz w:val="22"/>
        </w:rPr>
        <w:instrText xml:space="preserve"> ADDIN ZOTERO_BIBL {"uncited":[],"omitted":[],"custom":[]} CSL_BIBLIOGRAPHY </w:instrText>
      </w:r>
      <w:r>
        <w:rPr>
          <w:rFonts w:ascii="Times New Roman" w:hAnsi="Times New Roman" w:cs="Times New Roman"/>
          <w:sz w:val="22"/>
        </w:rPr>
        <w:fldChar w:fldCharType="separate"/>
      </w:r>
      <w:r>
        <w:rPr>
          <w:rFonts w:ascii="Times New Roman" w:hAnsi="Times New Roman" w:cs="Times New Roman"/>
          <w:sz w:val="22"/>
        </w:rPr>
        <w:t>Qian, J., Fu, L., Wu, X., Wang, Z., Wang, H., Zeng, Y., Cheng, G., Deng, F., Shen, S., 2023. Developing and characterizing monoclonal antibodies of Guertu bandavirus nucleoprotein for developing methods of Guertu bandavirus and severe fever with thrombocytopenia syndrome virus detection. Braz J Microbiol 54, 1433–1445.</w:t>
      </w:r>
    </w:p>
    <w:p w:rsidR="00A7468A" w:rsidRDefault="00F65489">
      <w:pPr>
        <w:pStyle w:val="21"/>
        <w:rPr>
          <w:rFonts w:ascii="Times New Roman" w:hAnsi="Times New Roman" w:cs="Times New Roman"/>
          <w:sz w:val="22"/>
        </w:rPr>
      </w:pPr>
      <w:bookmarkStart w:id="2" w:name="OLE_LINK11"/>
      <w:bookmarkStart w:id="3" w:name="OLE_LINK12"/>
      <w:r>
        <w:rPr>
          <w:rFonts w:ascii="Times New Roman" w:hAnsi="Times New Roman" w:cs="Times New Roman"/>
          <w:sz w:val="22"/>
        </w:rPr>
        <w:t xml:space="preserve">Xiao, J., Yao, X., Guan, X., Xiong, J., Fang, Y., Zhang, J., Zhang, Y., Moming, A., Su, Z., Jin, J., et al., 2024. </w:t>
      </w:r>
      <w:bookmarkStart w:id="4" w:name="OLE_LINK7"/>
      <w:bookmarkStart w:id="5" w:name="OLE_LINK8"/>
      <w:r>
        <w:rPr>
          <w:rFonts w:ascii="Times New Roman" w:hAnsi="Times New Roman" w:cs="Times New Roman"/>
          <w:sz w:val="22"/>
        </w:rPr>
        <w:t>Viromes of Haemaphysalis longicornis reveal different viral abundance and diversity in free and engorged ticks</w:t>
      </w:r>
      <w:bookmarkEnd w:id="4"/>
      <w:bookmarkEnd w:id="5"/>
      <w:r>
        <w:rPr>
          <w:rFonts w:ascii="Times New Roman" w:hAnsi="Times New Roman" w:cs="Times New Roman"/>
          <w:sz w:val="22"/>
        </w:rPr>
        <w:t xml:space="preserve">. </w:t>
      </w:r>
      <w:proofErr w:type="spellStart"/>
      <w:r>
        <w:rPr>
          <w:rFonts w:ascii="Times New Roman" w:hAnsi="Times New Roman" w:cs="Times New Roman"/>
          <w:sz w:val="22"/>
        </w:rPr>
        <w:t>Virol</w:t>
      </w:r>
      <w:proofErr w:type="spellEnd"/>
      <w:r w:rsidR="007F1591">
        <w:rPr>
          <w:rFonts w:ascii="Times New Roman" w:hAnsi="Times New Roman" w:cs="Times New Roman"/>
          <w:sz w:val="22"/>
        </w:rPr>
        <w:t>.</w:t>
      </w:r>
      <w:r>
        <w:rPr>
          <w:rFonts w:ascii="Times New Roman" w:hAnsi="Times New Roman" w:cs="Times New Roman"/>
          <w:sz w:val="22"/>
        </w:rPr>
        <w:t xml:space="preserve"> Sin</w:t>
      </w:r>
      <w:r w:rsidR="007F1591">
        <w:rPr>
          <w:rFonts w:ascii="Times New Roman" w:hAnsi="Times New Roman" w:cs="Times New Roman"/>
          <w:sz w:val="22"/>
        </w:rPr>
        <w:t>.</w:t>
      </w:r>
      <w:r>
        <w:rPr>
          <w:rFonts w:ascii="Times New Roman" w:hAnsi="Times New Roman" w:cs="Times New Roman"/>
          <w:sz w:val="22"/>
        </w:rPr>
        <w:t xml:space="preserve"> 39, 194–204.</w:t>
      </w:r>
    </w:p>
    <w:bookmarkEnd w:id="2"/>
    <w:bookmarkEnd w:id="3"/>
    <w:p w:rsidR="00A7468A" w:rsidRDefault="00F65489">
      <w:pPr>
        <w:pStyle w:val="21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Zhang, Y., Shen, S., Shi, J., Su, Z., Li, Mingyue, Zhang, W., Li, Mengmeng, Hu, Z., Peng, C., Zheng, X., et al., 2017. Isolation, characterization, and phylogenic analysis of three new severe fever with thrombocytopenia syndrome bunyavirus strains derived from Hubei Province, China. Virol. Sin. 32, 89–96.</w:t>
      </w:r>
      <w:r>
        <w:rPr>
          <w:rFonts w:ascii="Times New Roman" w:hAnsi="Times New Roman" w:cs="Times New Roman"/>
          <w:sz w:val="22"/>
        </w:rPr>
        <w:fldChar w:fldCharType="end"/>
      </w:r>
    </w:p>
    <w:p w:rsidR="00A7468A" w:rsidRDefault="00A7468A">
      <w:pPr>
        <w:rPr>
          <w:rFonts w:ascii="Times New Roman" w:hAnsi="Times New Roman" w:cs="Times New Roman"/>
          <w:sz w:val="22"/>
        </w:rPr>
      </w:pPr>
    </w:p>
    <w:p w:rsidR="00A7468A" w:rsidRDefault="00A7468A">
      <w:pPr>
        <w:rPr>
          <w:rFonts w:ascii="Times New Roman" w:hAnsi="Times New Roman" w:cs="Times New Roman"/>
          <w:sz w:val="22"/>
        </w:rPr>
      </w:pPr>
    </w:p>
    <w:p w:rsidR="00A7468A" w:rsidRDefault="00A7468A">
      <w:pPr>
        <w:rPr>
          <w:rFonts w:ascii="Times New Roman" w:hAnsi="Times New Roman" w:cs="Times New Roman"/>
          <w:sz w:val="22"/>
        </w:rPr>
        <w:sectPr w:rsidR="00A7468A" w:rsidSect="0033497F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A7468A" w:rsidRDefault="007F1591">
      <w:pPr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sz w:val="22"/>
        </w:rPr>
        <w:lastRenderedPageBreak/>
        <w:t>Supplementary</w:t>
      </w:r>
      <w:r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>Table</w:t>
      </w:r>
      <w:r w:rsidR="00F65489"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>S1 Nucleic acid and antibody levels of SFTSV and NSDV in patient serum</w:t>
      </w:r>
    </w:p>
    <w:tbl>
      <w:tblPr>
        <w:tblW w:w="7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2320"/>
        <w:gridCol w:w="2340"/>
      </w:tblGrid>
      <w:tr w:rsidR="00A7468A">
        <w:trPr>
          <w:trHeight w:val="586"/>
        </w:trPr>
        <w:tc>
          <w:tcPr>
            <w:tcW w:w="2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  <w:tl2br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7468A" w:rsidRDefault="00A7468A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1"/>
              </w:rPr>
              <w:t>SFTSV</w:t>
            </w:r>
          </w:p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1"/>
              </w:rPr>
              <w:t>(S segment)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1"/>
              </w:rPr>
              <w:t>NSDV</w:t>
            </w:r>
          </w:p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1"/>
              </w:rPr>
              <w:t>(S segment)</w:t>
            </w:r>
          </w:p>
        </w:tc>
      </w:tr>
      <w:tr w:rsidR="00A7468A">
        <w:trPr>
          <w:trHeight w:val="345"/>
        </w:trPr>
        <w:tc>
          <w:tcPr>
            <w:tcW w:w="24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RNA (Ct value)</w:t>
            </w:r>
          </w:p>
        </w:tc>
        <w:tc>
          <w:tcPr>
            <w:tcW w:w="23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20.57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30.59</w:t>
            </w:r>
          </w:p>
        </w:tc>
      </w:tr>
      <w:tr w:rsidR="00A7468A">
        <w:trPr>
          <w:trHeight w:val="345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Ig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G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</w:tr>
      <w:tr w:rsidR="00A7468A">
        <w:trPr>
          <w:trHeight w:val="345"/>
        </w:trPr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Ig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+</w:t>
            </w:r>
          </w:p>
        </w:tc>
      </w:tr>
    </w:tbl>
    <w:p w:rsidR="00A7468A" w:rsidRDefault="00A7468A">
      <w:pPr>
        <w:rPr>
          <w:rFonts w:ascii="Times New Roman" w:eastAsia="宋体" w:hAnsi="Times New Roman" w:cs="Times New Roman"/>
          <w:b/>
          <w:bCs/>
          <w:szCs w:val="21"/>
        </w:rPr>
      </w:pPr>
    </w:p>
    <w:p w:rsidR="00A7468A" w:rsidRDefault="00A7468A">
      <w:pPr>
        <w:rPr>
          <w:rFonts w:ascii="Times New Roman" w:eastAsia="宋体" w:hAnsi="Times New Roman" w:cs="Times New Roman"/>
          <w:b/>
          <w:bCs/>
          <w:szCs w:val="21"/>
        </w:rPr>
      </w:pPr>
    </w:p>
    <w:p w:rsidR="00A7468A" w:rsidRDefault="00A7468A">
      <w:pPr>
        <w:rPr>
          <w:rFonts w:ascii="Times New Roman" w:eastAsia="宋体" w:hAnsi="Times New Roman" w:cs="Times New Roman"/>
          <w:szCs w:val="21"/>
        </w:rPr>
      </w:pPr>
    </w:p>
    <w:p w:rsidR="00A7468A" w:rsidRDefault="00A7468A">
      <w:pPr>
        <w:rPr>
          <w:rFonts w:ascii="Times New Roman" w:eastAsia="宋体" w:hAnsi="Times New Roman" w:cs="Times New Roman"/>
          <w:szCs w:val="21"/>
        </w:rPr>
      </w:pPr>
    </w:p>
    <w:p w:rsidR="00A7468A" w:rsidRDefault="007F1591">
      <w:pPr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sz w:val="22"/>
        </w:rPr>
        <w:t>Supplementary</w:t>
      </w:r>
      <w:r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="00F65489">
        <w:rPr>
          <w:rFonts w:ascii="Times New Roman" w:eastAsia="宋体" w:hAnsi="Times New Roman" w:cs="Times New Roman" w:hint="eastAsia"/>
          <w:b/>
          <w:bCs/>
          <w:szCs w:val="21"/>
        </w:rPr>
        <w:t>Table S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>2</w:t>
      </w:r>
      <w:r w:rsidR="00F65489"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>Nucleotide</w:t>
      </w:r>
      <w:r w:rsidR="00F65489">
        <w:rPr>
          <w:rFonts w:ascii="Times New Roman" w:eastAsia="宋体" w:hAnsi="Times New Roman" w:cs="Times New Roman" w:hint="eastAsia"/>
          <w:b/>
          <w:bCs/>
          <w:szCs w:val="21"/>
        </w:rPr>
        <w:t xml:space="preserve"> i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 xml:space="preserve">dentity of </w:t>
      </w:r>
      <w:r w:rsidR="00F65489">
        <w:rPr>
          <w:rFonts w:ascii="Times New Roman" w:eastAsia="宋体" w:hAnsi="Times New Roman" w:cs="Times New Roman" w:hint="eastAsia"/>
          <w:b/>
          <w:bCs/>
          <w:szCs w:val="21"/>
        </w:rPr>
        <w:t>f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>ull-</w:t>
      </w:r>
      <w:r w:rsidR="00F65489">
        <w:rPr>
          <w:rFonts w:ascii="Times New Roman" w:eastAsia="宋体" w:hAnsi="Times New Roman" w:cs="Times New Roman" w:hint="eastAsia"/>
          <w:b/>
          <w:bCs/>
          <w:szCs w:val="21"/>
        </w:rPr>
        <w:t>l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 xml:space="preserve">ength ORF </w:t>
      </w:r>
      <w:r w:rsidR="00F65489"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 xml:space="preserve">equences in </w:t>
      </w:r>
      <w:r w:rsidR="00F65489">
        <w:rPr>
          <w:rFonts w:ascii="Times New Roman" w:eastAsia="宋体" w:hAnsi="Times New Roman" w:cs="Times New Roman" w:hint="eastAsia"/>
          <w:b/>
          <w:bCs/>
          <w:szCs w:val="21"/>
        </w:rPr>
        <w:t>t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>wo</w:t>
      </w:r>
      <w:r w:rsidR="00F65489">
        <w:rPr>
          <w:rFonts w:ascii="Times New Roman" w:eastAsia="宋体" w:hAnsi="Times New Roman" w:cs="Times New Roman" w:hint="eastAsia"/>
          <w:b/>
          <w:bCs/>
          <w:szCs w:val="21"/>
        </w:rPr>
        <w:t xml:space="preserve"> SFTSV strains and two NSDV strains in this study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  <w:gridCol w:w="2888"/>
      </w:tblGrid>
      <w:tr w:rsidR="00A7468A">
        <w:trPr>
          <w:trHeight w:val="620"/>
        </w:trPr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1"/>
              </w:rPr>
              <w:t>V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1"/>
              </w:rPr>
              <w:t>irus segment</w:t>
            </w:r>
          </w:p>
        </w:tc>
        <w:tc>
          <w:tcPr>
            <w:tcW w:w="28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1"/>
              </w:rPr>
              <w:t>Identity (%)</w:t>
            </w:r>
          </w:p>
        </w:tc>
      </w:tr>
      <w:tr w:rsidR="00A7468A">
        <w:trPr>
          <w:trHeight w:val="413"/>
        </w:trPr>
        <w:tc>
          <w:tcPr>
            <w:tcW w:w="2593" w:type="dxa"/>
            <w:tcBorders>
              <w:top w:val="single" w:sz="4" w:space="0" w:color="auto"/>
            </w:tcBorders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 xml:space="preserve">SFTSV </w:t>
            </w: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RdRp</w:t>
            </w:r>
            <w:proofErr w:type="spellEnd"/>
          </w:p>
        </w:tc>
        <w:tc>
          <w:tcPr>
            <w:tcW w:w="2888" w:type="dxa"/>
            <w:tcBorders>
              <w:top w:val="single" w:sz="4" w:space="0" w:color="auto"/>
            </w:tcBorders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96.4</w:t>
            </w:r>
          </w:p>
        </w:tc>
      </w:tr>
      <w:tr w:rsidR="00A7468A">
        <w:trPr>
          <w:trHeight w:val="413"/>
        </w:trPr>
        <w:tc>
          <w:tcPr>
            <w:tcW w:w="2593" w:type="dxa"/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 xml:space="preserve">SFTSV </w:t>
            </w: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Gp</w:t>
            </w:r>
            <w:proofErr w:type="spellEnd"/>
          </w:p>
        </w:tc>
        <w:tc>
          <w:tcPr>
            <w:tcW w:w="2888" w:type="dxa"/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94.2</w:t>
            </w:r>
          </w:p>
        </w:tc>
      </w:tr>
      <w:tr w:rsidR="00A7468A">
        <w:trPr>
          <w:trHeight w:val="413"/>
        </w:trPr>
        <w:tc>
          <w:tcPr>
            <w:tcW w:w="2593" w:type="dxa"/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SFTSV NP</w:t>
            </w:r>
          </w:p>
        </w:tc>
        <w:tc>
          <w:tcPr>
            <w:tcW w:w="2888" w:type="dxa"/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90.5</w:t>
            </w:r>
          </w:p>
        </w:tc>
      </w:tr>
      <w:tr w:rsidR="00A7468A">
        <w:trPr>
          <w:trHeight w:val="413"/>
        </w:trPr>
        <w:tc>
          <w:tcPr>
            <w:tcW w:w="2593" w:type="dxa"/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NSDV NP</w:t>
            </w:r>
          </w:p>
        </w:tc>
        <w:tc>
          <w:tcPr>
            <w:tcW w:w="2888" w:type="dxa"/>
            <w:vAlign w:val="center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97</w:t>
            </w:r>
          </w:p>
        </w:tc>
      </w:tr>
    </w:tbl>
    <w:p w:rsidR="00A7468A" w:rsidRDefault="00A7468A">
      <w:pPr>
        <w:jc w:val="center"/>
        <w:rPr>
          <w:rFonts w:ascii="Times New Roman" w:eastAsia="宋体" w:hAnsi="Times New Roman" w:cs="Times New Roman"/>
          <w:szCs w:val="21"/>
        </w:rPr>
      </w:pPr>
    </w:p>
    <w:p w:rsidR="00A7468A" w:rsidRDefault="00A7468A">
      <w:pPr>
        <w:jc w:val="center"/>
        <w:rPr>
          <w:rFonts w:ascii="Times New Roman" w:eastAsia="宋体" w:hAnsi="Times New Roman" w:cs="Times New Roman"/>
          <w:szCs w:val="21"/>
        </w:rPr>
      </w:pPr>
    </w:p>
    <w:p w:rsidR="00A7468A" w:rsidRDefault="00A7468A">
      <w:pPr>
        <w:rPr>
          <w:rFonts w:ascii="Times New Roman" w:eastAsia="宋体" w:hAnsi="Times New Roman" w:cs="Times New Roman"/>
          <w:b/>
          <w:bCs/>
          <w:szCs w:val="21"/>
        </w:rPr>
      </w:pPr>
    </w:p>
    <w:p w:rsidR="00A7468A" w:rsidRDefault="00A7468A">
      <w:pPr>
        <w:rPr>
          <w:rFonts w:ascii="Times New Roman" w:eastAsia="宋体" w:hAnsi="Times New Roman" w:cs="Times New Roman"/>
          <w:b/>
          <w:bCs/>
          <w:szCs w:val="21"/>
        </w:rPr>
        <w:sectPr w:rsidR="00A7468A" w:rsidSect="0033497F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A7468A" w:rsidRDefault="007F1591">
      <w:pPr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sz w:val="22"/>
        </w:rPr>
        <w:lastRenderedPageBreak/>
        <w:t>Supplementary</w:t>
      </w:r>
      <w:r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>Table</w:t>
      </w:r>
      <w:r w:rsidR="00F65489"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>S3 Detection primers of SFTSV and NSDV</w:t>
      </w:r>
    </w:p>
    <w:tbl>
      <w:tblPr>
        <w:tblStyle w:val="ab"/>
        <w:tblpPr w:leftFromText="180" w:rightFromText="180" w:vertAnchor="text" w:horzAnchor="margin" w:tblpXSpec="center" w:tblpY="17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0"/>
        <w:gridCol w:w="3361"/>
        <w:gridCol w:w="3528"/>
      </w:tblGrid>
      <w:tr w:rsidR="00A7468A"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Name</w:t>
            </w:r>
          </w:p>
        </w:tc>
        <w:tc>
          <w:tcPr>
            <w:tcW w:w="2839" w:type="dxa"/>
            <w:tcBorders>
              <w:top w:val="single" w:sz="4" w:space="0" w:color="auto"/>
              <w:bottom w:val="single" w:sz="4" w:space="0" w:color="auto"/>
            </w:tcBorders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5</w:t>
            </w:r>
            <w:bookmarkStart w:id="6" w:name="OLE_LINK87"/>
            <w:bookmarkStart w:id="7" w:name="OLE_LINK83"/>
            <w:bookmarkStart w:id="8" w:name="OLE_LINK89"/>
            <w:bookmarkStart w:id="9" w:name="OLE_LINK86"/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′</w:t>
            </w:r>
            <w:bookmarkEnd w:id="6"/>
            <w:bookmarkEnd w:id="7"/>
            <w:bookmarkEnd w:id="8"/>
            <w:bookmarkEnd w:id="9"/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–3′</w:t>
            </w:r>
          </w:p>
        </w:tc>
        <w:tc>
          <w:tcPr>
            <w:tcW w:w="2923" w:type="dxa"/>
            <w:tcBorders>
              <w:top w:val="single" w:sz="4" w:space="0" w:color="auto"/>
              <w:bottom w:val="single" w:sz="4" w:space="0" w:color="auto"/>
            </w:tcBorders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3′</w:t>
            </w:r>
            <w:bookmarkStart w:id="10" w:name="OLE_LINK78"/>
            <w:bookmarkStart w:id="11" w:name="OLE_LINK2"/>
            <w:bookmarkStart w:id="12" w:name="OLE_LINK42"/>
            <w:bookmarkStart w:id="13" w:name="OLE_LINK21"/>
            <w:bookmarkStart w:id="14" w:name="OLE_LINK43"/>
            <w:bookmarkStart w:id="15" w:name="OLE_LINK75"/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–</w:t>
            </w:r>
            <w:bookmarkEnd w:id="10"/>
            <w:bookmarkEnd w:id="11"/>
            <w:bookmarkEnd w:id="12"/>
            <w:bookmarkEnd w:id="13"/>
            <w:bookmarkEnd w:id="14"/>
            <w:bookmarkEnd w:id="15"/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5′</w:t>
            </w:r>
          </w:p>
        </w:tc>
      </w:tr>
      <w:tr w:rsidR="00A7468A">
        <w:tc>
          <w:tcPr>
            <w:tcW w:w="2760" w:type="dxa"/>
            <w:tcBorders>
              <w:top w:val="single" w:sz="4" w:space="0" w:color="auto"/>
              <w:bottom w:val="nil"/>
            </w:tcBorders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SFTSV-S-ii</w:t>
            </w:r>
          </w:p>
        </w:tc>
        <w:tc>
          <w:tcPr>
            <w:tcW w:w="2839" w:type="dxa"/>
            <w:tcBorders>
              <w:top w:val="single" w:sz="4" w:space="0" w:color="auto"/>
              <w:bottom w:val="nil"/>
            </w:tcBorders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TGTGAGCTGCCTGYARGAACCA</w:t>
            </w:r>
          </w:p>
        </w:tc>
        <w:tc>
          <w:tcPr>
            <w:tcW w:w="2923" w:type="dxa"/>
            <w:tcBorders>
              <w:top w:val="single" w:sz="4" w:space="0" w:color="auto"/>
              <w:bottom w:val="nil"/>
            </w:tcBorders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GGAYATGAGGTGCTACTCCCARAG</w:t>
            </w:r>
          </w:p>
        </w:tc>
      </w:tr>
      <w:tr w:rsidR="00A7468A">
        <w:tc>
          <w:tcPr>
            <w:tcW w:w="2760" w:type="dxa"/>
            <w:tcBorders>
              <w:top w:val="nil"/>
              <w:bottom w:val="nil"/>
            </w:tcBorders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SFTSV-S-P-RC-FAM</w:t>
            </w:r>
          </w:p>
        </w:tc>
        <w:tc>
          <w:tcPr>
            <w:tcW w:w="5762" w:type="dxa"/>
            <w:gridSpan w:val="2"/>
            <w:tcBorders>
              <w:top w:val="nil"/>
              <w:bottom w:val="nil"/>
            </w:tcBorders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AGTGCTCTYAGGTGGCCYAGTGG</w:t>
            </w:r>
          </w:p>
        </w:tc>
      </w:tr>
      <w:tr w:rsidR="00A7468A">
        <w:tc>
          <w:tcPr>
            <w:tcW w:w="2760" w:type="dxa"/>
            <w:tcBorders>
              <w:top w:val="nil"/>
            </w:tcBorders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NSDV-Q</w:t>
            </w:r>
          </w:p>
        </w:tc>
        <w:tc>
          <w:tcPr>
            <w:tcW w:w="2839" w:type="dxa"/>
            <w:tcBorders>
              <w:top w:val="nil"/>
            </w:tcBorders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GCTGCTCTTTCTTCTCGGGT</w:t>
            </w:r>
          </w:p>
        </w:tc>
        <w:tc>
          <w:tcPr>
            <w:tcW w:w="2923" w:type="dxa"/>
            <w:tcBorders>
              <w:top w:val="nil"/>
            </w:tcBorders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CACTCTTCGGTGCTGTCACT</w:t>
            </w:r>
          </w:p>
        </w:tc>
      </w:tr>
      <w:tr w:rsidR="00A7468A">
        <w:tc>
          <w:tcPr>
            <w:tcW w:w="2760" w:type="dxa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NSDV-1</w:t>
            </w:r>
          </w:p>
        </w:tc>
        <w:tc>
          <w:tcPr>
            <w:tcW w:w="2839" w:type="dxa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AGCATGAGGCTTGTTTCATCDG</w:t>
            </w:r>
          </w:p>
        </w:tc>
        <w:tc>
          <w:tcPr>
            <w:tcW w:w="2923" w:type="dxa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CCAGGGTGCATGTAAATCCG</w:t>
            </w:r>
          </w:p>
        </w:tc>
      </w:tr>
      <w:tr w:rsidR="00A7468A">
        <w:tc>
          <w:tcPr>
            <w:tcW w:w="2760" w:type="dxa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NSDV-2</w:t>
            </w:r>
          </w:p>
        </w:tc>
        <w:tc>
          <w:tcPr>
            <w:tcW w:w="2839" w:type="dxa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TATGAGGTYAGCATGAGGCTTGT</w:t>
            </w:r>
          </w:p>
        </w:tc>
        <w:tc>
          <w:tcPr>
            <w:tcW w:w="2923" w:type="dxa"/>
          </w:tcPr>
          <w:p w:rsidR="00A7468A" w:rsidRDefault="00F65489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CTGCCTTCCARAGCCAGTAGTAG</w:t>
            </w:r>
          </w:p>
        </w:tc>
      </w:tr>
    </w:tbl>
    <w:p w:rsidR="00A7468A" w:rsidRDefault="00A7468A">
      <w:pPr>
        <w:rPr>
          <w:rFonts w:ascii="Times New Roman" w:eastAsia="宋体" w:hAnsi="Times New Roman" w:cs="Times New Roman"/>
          <w:szCs w:val="21"/>
        </w:rPr>
      </w:pPr>
    </w:p>
    <w:p w:rsidR="00A7468A" w:rsidRDefault="00A7468A">
      <w:pPr>
        <w:rPr>
          <w:rFonts w:ascii="Times New Roman" w:eastAsia="宋体" w:hAnsi="Times New Roman" w:cs="Times New Roman"/>
          <w:szCs w:val="21"/>
        </w:rPr>
      </w:pPr>
    </w:p>
    <w:p w:rsidR="00A7468A" w:rsidRDefault="00A7468A">
      <w:pPr>
        <w:rPr>
          <w:rFonts w:ascii="Times New Roman" w:eastAsia="宋体" w:hAnsi="Times New Roman" w:cs="Times New Roman"/>
          <w:szCs w:val="21"/>
        </w:rPr>
      </w:pPr>
    </w:p>
    <w:p w:rsidR="00A7468A" w:rsidRDefault="007F1591">
      <w:pPr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sz w:val="22"/>
        </w:rPr>
        <w:t>Supplementary</w:t>
      </w:r>
      <w:r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>Table</w:t>
      </w:r>
      <w:r w:rsidR="00F65489"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>S4 Number of cell lines utilized in the experiment</w:t>
      </w:r>
    </w:p>
    <w:tbl>
      <w:tblPr>
        <w:tblStyle w:val="ab"/>
        <w:tblW w:w="8897" w:type="dxa"/>
        <w:jc w:val="center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5"/>
        <w:gridCol w:w="1892"/>
        <w:gridCol w:w="2758"/>
        <w:gridCol w:w="2932"/>
      </w:tblGrid>
      <w:tr w:rsidR="00A7468A">
        <w:trPr>
          <w:jc w:val="center"/>
        </w:trPr>
        <w:tc>
          <w:tcPr>
            <w:tcW w:w="1315" w:type="dxa"/>
            <w:tcBorders>
              <w:left w:val="nil"/>
              <w:bottom w:val="single" w:sz="4" w:space="0" w:color="auto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Cell name</w:t>
            </w:r>
          </w:p>
        </w:tc>
        <w:tc>
          <w:tcPr>
            <w:tcW w:w="1892" w:type="dxa"/>
            <w:tcBorders>
              <w:bottom w:val="single" w:sz="4" w:space="0" w:color="auto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biological origin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ATCC No.</w:t>
            </w:r>
          </w:p>
        </w:tc>
        <w:tc>
          <w:tcPr>
            <w:tcW w:w="2932" w:type="dxa"/>
            <w:tcBorders>
              <w:bottom w:val="single" w:sz="4" w:space="0" w:color="auto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NVRC No.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bookmarkStart w:id="16" w:name="_Hlk214372152"/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SH-SY5Y</w:t>
            </w:r>
            <w:bookmarkEnd w:id="16"/>
          </w:p>
        </w:tc>
        <w:tc>
          <w:tcPr>
            <w:tcW w:w="189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Human</w:t>
            </w:r>
          </w:p>
        </w:tc>
        <w:tc>
          <w:tcPr>
            <w:tcW w:w="2758" w:type="dxa"/>
            <w:tcBorders>
              <w:top w:val="single" w:sz="4" w:space="0" w:color="auto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CRL-2266</w:t>
            </w:r>
          </w:p>
        </w:tc>
        <w:tc>
          <w:tcPr>
            <w:tcW w:w="2932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 0131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nil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bookmarkStart w:id="17" w:name="_Hlk214372165"/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U87-MG</w:t>
            </w:r>
            <w:bookmarkEnd w:id="17"/>
          </w:p>
        </w:tc>
        <w:tc>
          <w:tcPr>
            <w:tcW w:w="1892" w:type="dxa"/>
            <w:vMerge/>
            <w:tcBorders>
              <w:top w:val="nil"/>
              <w:bottom w:val="nil"/>
            </w:tcBorders>
            <w:vAlign w:val="center"/>
          </w:tcPr>
          <w:p w:rsidR="00A7468A" w:rsidRDefault="00A7468A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HIB-14</w:t>
            </w:r>
          </w:p>
        </w:tc>
        <w:tc>
          <w:tcPr>
            <w:tcW w:w="2932" w:type="dxa"/>
            <w:tcBorders>
              <w:top w:val="nil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 0123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nil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293</w:t>
            </w:r>
          </w:p>
        </w:tc>
        <w:tc>
          <w:tcPr>
            <w:tcW w:w="1892" w:type="dxa"/>
            <w:vMerge/>
            <w:tcBorders>
              <w:top w:val="nil"/>
              <w:bottom w:val="nil"/>
            </w:tcBorders>
            <w:vAlign w:val="center"/>
          </w:tcPr>
          <w:p w:rsidR="00A7468A" w:rsidRDefault="00A7468A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CRL-1573</w:t>
            </w:r>
          </w:p>
        </w:tc>
        <w:tc>
          <w:tcPr>
            <w:tcW w:w="2932" w:type="dxa"/>
            <w:tcBorders>
              <w:top w:val="nil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 0093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nil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SW-13</w:t>
            </w:r>
          </w:p>
        </w:tc>
        <w:tc>
          <w:tcPr>
            <w:tcW w:w="1892" w:type="dxa"/>
            <w:vMerge/>
            <w:tcBorders>
              <w:top w:val="nil"/>
              <w:bottom w:val="nil"/>
            </w:tcBorders>
            <w:vAlign w:val="center"/>
          </w:tcPr>
          <w:p w:rsidR="00A7468A" w:rsidRDefault="00A7468A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CCL-105</w:t>
            </w:r>
          </w:p>
        </w:tc>
        <w:tc>
          <w:tcPr>
            <w:tcW w:w="2932" w:type="dxa"/>
            <w:tcBorders>
              <w:top w:val="nil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 0144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nil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A549</w:t>
            </w:r>
          </w:p>
        </w:tc>
        <w:tc>
          <w:tcPr>
            <w:tcW w:w="1892" w:type="dxa"/>
            <w:vMerge/>
            <w:tcBorders>
              <w:top w:val="nil"/>
              <w:bottom w:val="nil"/>
            </w:tcBorders>
            <w:vAlign w:val="center"/>
          </w:tcPr>
          <w:p w:rsidR="00A7468A" w:rsidRDefault="00A7468A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CRM-CCL-185/CCL-185</w:t>
            </w:r>
          </w:p>
        </w:tc>
        <w:tc>
          <w:tcPr>
            <w:tcW w:w="2932" w:type="dxa"/>
            <w:tcBorders>
              <w:top w:val="nil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 0193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nil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bookmarkStart w:id="18" w:name="_Hlk214372239"/>
            <w:proofErr w:type="spellStart"/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HeLa</w:t>
            </w:r>
            <w:bookmarkEnd w:id="18"/>
            <w:proofErr w:type="spellEnd"/>
          </w:p>
        </w:tc>
        <w:tc>
          <w:tcPr>
            <w:tcW w:w="1892" w:type="dxa"/>
            <w:vMerge/>
            <w:tcBorders>
              <w:top w:val="nil"/>
              <w:bottom w:val="nil"/>
            </w:tcBorders>
            <w:vAlign w:val="center"/>
          </w:tcPr>
          <w:p w:rsidR="00A7468A" w:rsidRDefault="00A7468A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CCL-2</w:t>
            </w:r>
          </w:p>
        </w:tc>
        <w:tc>
          <w:tcPr>
            <w:tcW w:w="2932" w:type="dxa"/>
            <w:tcBorders>
              <w:top w:val="nil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 0090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nil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HepG2</w:t>
            </w:r>
          </w:p>
        </w:tc>
        <w:tc>
          <w:tcPr>
            <w:tcW w:w="1892" w:type="dxa"/>
            <w:vMerge/>
            <w:tcBorders>
              <w:top w:val="nil"/>
              <w:bottom w:val="nil"/>
            </w:tcBorders>
            <w:vAlign w:val="center"/>
          </w:tcPr>
          <w:p w:rsidR="00A7468A" w:rsidRDefault="00A7468A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HB-8065</w:t>
            </w:r>
          </w:p>
        </w:tc>
        <w:tc>
          <w:tcPr>
            <w:tcW w:w="2932" w:type="dxa"/>
            <w:tcBorders>
              <w:top w:val="nil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 0092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nil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Vero</w:t>
            </w:r>
          </w:p>
        </w:tc>
        <w:tc>
          <w:tcPr>
            <w:tcW w:w="1892" w:type="dxa"/>
            <w:vMerge w:val="restart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Monkey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CCL-81</w:t>
            </w:r>
          </w:p>
        </w:tc>
        <w:tc>
          <w:tcPr>
            <w:tcW w:w="2932" w:type="dxa"/>
            <w:tcBorders>
              <w:top w:val="nil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 0134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nil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bookmarkStart w:id="19" w:name="_Hlk214372295"/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Vero E6</w:t>
            </w:r>
            <w:bookmarkEnd w:id="19"/>
          </w:p>
        </w:tc>
        <w:tc>
          <w:tcPr>
            <w:tcW w:w="1892" w:type="dxa"/>
            <w:vMerge/>
            <w:tcBorders>
              <w:top w:val="nil"/>
              <w:bottom w:val="nil"/>
            </w:tcBorders>
            <w:vAlign w:val="center"/>
          </w:tcPr>
          <w:p w:rsidR="00A7468A" w:rsidRDefault="00A7468A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CRL-1586</w:t>
            </w:r>
          </w:p>
        </w:tc>
        <w:tc>
          <w:tcPr>
            <w:tcW w:w="2932" w:type="dxa"/>
            <w:tcBorders>
              <w:top w:val="nil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 0130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nil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DH82</w:t>
            </w:r>
          </w:p>
        </w:tc>
        <w:tc>
          <w:tcPr>
            <w:tcW w:w="1892" w:type="dxa"/>
            <w:vMerge w:val="restart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Dog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CRL-10389</w:t>
            </w:r>
          </w:p>
        </w:tc>
        <w:tc>
          <w:tcPr>
            <w:tcW w:w="2932" w:type="dxa"/>
            <w:tcBorders>
              <w:top w:val="nil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 0084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nil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MDCK</w:t>
            </w:r>
          </w:p>
        </w:tc>
        <w:tc>
          <w:tcPr>
            <w:tcW w:w="1892" w:type="dxa"/>
            <w:vMerge/>
            <w:tcBorders>
              <w:top w:val="nil"/>
              <w:bottom w:val="nil"/>
            </w:tcBorders>
            <w:vAlign w:val="center"/>
          </w:tcPr>
          <w:p w:rsidR="00A7468A" w:rsidRDefault="00A7468A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CCL-34</w:t>
            </w:r>
          </w:p>
        </w:tc>
        <w:tc>
          <w:tcPr>
            <w:tcW w:w="2932" w:type="dxa"/>
            <w:tcBorders>
              <w:top w:val="nil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 0083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nil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bookmarkStart w:id="20" w:name="_Hlk214372354"/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BHK-21</w:t>
            </w:r>
            <w:bookmarkEnd w:id="20"/>
          </w:p>
        </w:tc>
        <w:tc>
          <w:tcPr>
            <w:tcW w:w="1892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Syrian Hamster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CCL-10</w:t>
            </w:r>
          </w:p>
        </w:tc>
        <w:tc>
          <w:tcPr>
            <w:tcW w:w="2932" w:type="dxa"/>
            <w:tcBorders>
              <w:top w:val="nil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 0088</w:t>
            </w:r>
          </w:p>
        </w:tc>
      </w:tr>
      <w:tr w:rsidR="00A7468A">
        <w:trPr>
          <w:jc w:val="center"/>
        </w:trPr>
        <w:tc>
          <w:tcPr>
            <w:tcW w:w="1315" w:type="dxa"/>
            <w:tcBorders>
              <w:top w:val="nil"/>
              <w:left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PK15</w:t>
            </w:r>
          </w:p>
        </w:tc>
        <w:tc>
          <w:tcPr>
            <w:tcW w:w="1892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Pig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CCL-33</w:t>
            </w:r>
          </w:p>
        </w:tc>
        <w:tc>
          <w:tcPr>
            <w:tcW w:w="2932" w:type="dxa"/>
            <w:tcBorders>
              <w:top w:val="nil"/>
              <w:bottom w:val="nil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IVCAS9.0180</w:t>
            </w:r>
          </w:p>
        </w:tc>
      </w:tr>
      <w:tr w:rsidR="00A7468A">
        <w:trPr>
          <w:trHeight w:val="64"/>
          <w:jc w:val="center"/>
        </w:trPr>
        <w:tc>
          <w:tcPr>
            <w:tcW w:w="131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MDBK</w:t>
            </w:r>
          </w:p>
        </w:tc>
        <w:tc>
          <w:tcPr>
            <w:tcW w:w="1892" w:type="dxa"/>
            <w:tcBorders>
              <w:top w:val="nil"/>
              <w:bottom w:val="single" w:sz="4" w:space="0" w:color="auto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Cow</w:t>
            </w:r>
          </w:p>
        </w:tc>
        <w:tc>
          <w:tcPr>
            <w:tcW w:w="2758" w:type="dxa"/>
            <w:tcBorders>
              <w:top w:val="nil"/>
              <w:bottom w:val="single" w:sz="4" w:space="0" w:color="auto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CBP61030</w:t>
            </w:r>
          </w:p>
        </w:tc>
        <w:tc>
          <w:tcPr>
            <w:tcW w:w="293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A7468A" w:rsidRDefault="00F65489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16533. 09. IVCAS09. 0168</w:t>
            </w:r>
          </w:p>
        </w:tc>
      </w:tr>
    </w:tbl>
    <w:p w:rsidR="00A7468A" w:rsidRDefault="00A7468A">
      <w:pPr>
        <w:rPr>
          <w:rFonts w:ascii="Times New Roman" w:eastAsia="宋体" w:hAnsi="Times New Roman" w:cs="Times New Roman"/>
          <w:szCs w:val="21"/>
        </w:rPr>
      </w:pPr>
    </w:p>
    <w:p w:rsidR="00A7468A" w:rsidRDefault="00F65489">
      <w:pPr>
        <w:ind w:firstLineChars="100" w:firstLine="210"/>
        <w:jc w:val="center"/>
        <w:rPr>
          <w:rFonts w:ascii="Times New Roman" w:eastAsia="宋体" w:hAnsi="Times New Roman" w:cs="Times New Roman"/>
          <w:b/>
          <w:bCs/>
          <w:szCs w:val="21"/>
        </w:rPr>
      </w:pP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6188710" cy="738886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38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68A" w:rsidRDefault="007F1591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sz w:val="22"/>
        </w:rPr>
        <w:t>Supplementary</w:t>
      </w:r>
      <w:r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>Fig. S1</w:t>
      </w:r>
      <w:r w:rsidR="00F65489">
        <w:rPr>
          <w:rFonts w:ascii="Times New Roman" w:hAnsi="Times New Roman" w:cs="Times New Roman"/>
          <w:b/>
        </w:rPr>
        <w:t xml:space="preserve"> </w:t>
      </w:r>
      <w:r w:rsidR="00F65489">
        <w:rPr>
          <w:rFonts w:ascii="Times New Roman" w:eastAsia="宋体" w:hAnsi="Times New Roman" w:cs="Times New Roman"/>
          <w:bCs/>
          <w:szCs w:val="21"/>
        </w:rPr>
        <w:t>Sanger sequencing chromatogram and pairwise alignment of the NSDV GSN isolate.</w:t>
      </w:r>
      <w:r w:rsidR="00F65489">
        <w:rPr>
          <w:rFonts w:ascii="Times New Roman" w:hAnsi="Times New Roman" w:cs="Times New Roman"/>
        </w:rPr>
        <w:t xml:space="preserve"> NSDV GSN </w:t>
      </w:r>
      <w:proofErr w:type="spellStart"/>
      <w:r w:rsidR="00F65489">
        <w:rPr>
          <w:rFonts w:ascii="Times New Roman" w:eastAsia="宋体" w:hAnsi="Times New Roman" w:cs="Times New Roman"/>
          <w:szCs w:val="21"/>
        </w:rPr>
        <w:t>clustal</w:t>
      </w:r>
      <w:proofErr w:type="spellEnd"/>
      <w:r w:rsidR="00F65489">
        <w:rPr>
          <w:rFonts w:ascii="Times New Roman" w:eastAsia="宋体" w:hAnsi="Times New Roman" w:cs="Times New Roman"/>
          <w:szCs w:val="21"/>
        </w:rPr>
        <w:t xml:space="preserve"> Omega alignment of the corresponding nucleotide sequence against the reference strain NSDV</w:t>
      </w:r>
      <w:r w:rsidR="00F65489">
        <w:rPr>
          <w:rFonts w:ascii="Times New Roman" w:eastAsia="宋体" w:hAnsi="Times New Roman" w:cs="Times New Roman" w:hint="eastAsia"/>
          <w:szCs w:val="21"/>
        </w:rPr>
        <w:t>_</w:t>
      </w:r>
      <w:r w:rsidR="00F65489">
        <w:rPr>
          <w:rFonts w:ascii="Times New Roman" w:eastAsia="宋体" w:hAnsi="Times New Roman" w:cs="Times New Roman"/>
          <w:szCs w:val="21"/>
        </w:rPr>
        <w:t>SZWH2. Red shade indicates identical bases.</w:t>
      </w:r>
      <w:r w:rsidR="00F65489">
        <w:rPr>
          <w:rFonts w:ascii="Times New Roman" w:hAnsi="Times New Roman" w:cs="Times New Roman"/>
        </w:rPr>
        <w:t xml:space="preserve"> </w:t>
      </w:r>
      <w:r w:rsidR="00F65489">
        <w:rPr>
          <w:rFonts w:ascii="Times New Roman" w:eastAsia="宋体" w:hAnsi="Times New Roman" w:cs="Times New Roman"/>
          <w:szCs w:val="21"/>
        </w:rPr>
        <w:t>The sequence identity is 99.35%, confirming the taxonomic assignment of the patient-derived isolate.</w:t>
      </w:r>
    </w:p>
    <w:p w:rsidR="00A7468A" w:rsidRDefault="00F65489">
      <w:pPr>
        <w:jc w:val="center"/>
        <w:rPr>
          <w:rFonts w:ascii="Times New Roman" w:eastAsia="宋体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>
            <wp:extent cx="6188710" cy="285432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7468A" w:rsidRDefault="007F1591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sz w:val="22"/>
        </w:rPr>
        <w:t>Supplementary</w:t>
      </w:r>
      <w:r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="00F65489">
        <w:rPr>
          <w:rFonts w:ascii="Times New Roman" w:eastAsia="宋体" w:hAnsi="Times New Roman" w:cs="Times New Roman"/>
          <w:b/>
          <w:bCs/>
          <w:szCs w:val="21"/>
        </w:rPr>
        <w:t>Fig. S</w:t>
      </w:r>
      <w:r w:rsidR="00F65489">
        <w:rPr>
          <w:rFonts w:ascii="Times New Roman" w:eastAsia="宋体" w:hAnsi="Times New Roman" w:cs="Times New Roman" w:hint="eastAsia"/>
          <w:b/>
          <w:bCs/>
          <w:szCs w:val="21"/>
        </w:rPr>
        <w:t>2</w:t>
      </w:r>
      <w:r w:rsidR="00F65489">
        <w:rPr>
          <w:rFonts w:ascii="Times New Roman" w:hAnsi="Times New Roman" w:cs="Times New Roman"/>
        </w:rPr>
        <w:t xml:space="preserve"> </w:t>
      </w:r>
      <w:r w:rsidR="00F65489">
        <w:rPr>
          <w:rFonts w:ascii="Times New Roman" w:eastAsia="宋体" w:hAnsi="Times New Roman" w:cs="Times New Roman"/>
          <w:bCs/>
          <w:szCs w:val="21"/>
        </w:rPr>
        <w:t>Schematic representation of the NSDV genome assembled from high-throughput sequencing of a patient serum sample.</w:t>
      </w:r>
      <w:r w:rsidR="00F65489">
        <w:rPr>
          <w:rFonts w:ascii="Times New Roman" w:hAnsi="Times New Roman" w:cs="Times New Roman"/>
        </w:rPr>
        <w:t xml:space="preserve"> </w:t>
      </w:r>
      <w:r w:rsidR="00F65489">
        <w:rPr>
          <w:rFonts w:ascii="Times New Roman" w:eastAsia="宋体" w:hAnsi="Times New Roman" w:cs="Times New Roman"/>
          <w:szCs w:val="21"/>
        </w:rPr>
        <w:t xml:space="preserve">The viral genome is composed of three segments: Large (L, blue), Medium (M, orange), and Small (S, green). Grey areas represent gap regions within the sequenced </w:t>
      </w:r>
      <w:proofErr w:type="spellStart"/>
      <w:r w:rsidR="00F65489">
        <w:rPr>
          <w:rFonts w:ascii="Times New Roman" w:eastAsia="宋体" w:hAnsi="Times New Roman" w:cs="Times New Roman"/>
          <w:szCs w:val="21"/>
        </w:rPr>
        <w:t>contigs</w:t>
      </w:r>
      <w:proofErr w:type="spellEnd"/>
      <w:r w:rsidR="00F65489">
        <w:rPr>
          <w:rFonts w:ascii="Times New Roman" w:eastAsia="宋体" w:hAnsi="Times New Roman" w:cs="Times New Roman"/>
          <w:szCs w:val="21"/>
        </w:rPr>
        <w:t>. Numbers above and below each segment indicate amino acid positions.</w:t>
      </w:r>
      <w:bookmarkStart w:id="21" w:name="_GoBack"/>
      <w:bookmarkEnd w:id="21"/>
    </w:p>
    <w:p w:rsidR="00A7468A" w:rsidRDefault="00A7468A">
      <w:pPr>
        <w:jc w:val="center"/>
        <w:rPr>
          <w:rFonts w:ascii="Times New Roman" w:eastAsia="宋体" w:hAnsi="Times New Roman" w:cs="Times New Roman"/>
          <w:b/>
          <w:bCs/>
          <w:szCs w:val="21"/>
        </w:rPr>
      </w:pPr>
    </w:p>
    <w:p w:rsidR="00A7468A" w:rsidRDefault="00A7468A">
      <w:pPr>
        <w:rPr>
          <w:rFonts w:ascii="Times New Roman" w:eastAsia="宋体" w:hAnsi="Times New Roman" w:cs="Times New Roman"/>
          <w:b/>
          <w:bCs/>
          <w:szCs w:val="21"/>
        </w:rPr>
      </w:pPr>
    </w:p>
    <w:p w:rsidR="00A7468A" w:rsidRDefault="00A7468A">
      <w:pPr>
        <w:jc w:val="center"/>
        <w:rPr>
          <w:rFonts w:ascii="Times New Roman" w:eastAsia="宋体" w:hAnsi="Times New Roman" w:cs="Times New Roman"/>
          <w:b/>
          <w:bCs/>
          <w:szCs w:val="21"/>
        </w:rPr>
      </w:pPr>
    </w:p>
    <w:p w:rsidR="00A7468A" w:rsidRDefault="00A7468A">
      <w:pPr>
        <w:rPr>
          <w:rFonts w:ascii="Times New Roman" w:hAnsi="Times New Roman" w:cs="Times New Roman"/>
        </w:rPr>
      </w:pPr>
    </w:p>
    <w:p w:rsidR="00A7468A" w:rsidRDefault="00A7468A">
      <w:pPr>
        <w:rPr>
          <w:b/>
        </w:rPr>
      </w:pPr>
    </w:p>
    <w:sectPr w:rsidR="00A7468A" w:rsidSect="0033497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40E" w:rsidRDefault="0058640E" w:rsidP="0033497F">
      <w:r>
        <w:separator/>
      </w:r>
    </w:p>
  </w:endnote>
  <w:endnote w:type="continuationSeparator" w:id="0">
    <w:p w:rsidR="0058640E" w:rsidRDefault="0058640E" w:rsidP="00334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40E" w:rsidRDefault="0058640E" w:rsidP="0033497F">
      <w:r>
        <w:separator/>
      </w:r>
    </w:p>
  </w:footnote>
  <w:footnote w:type="continuationSeparator" w:id="0">
    <w:p w:rsidR="0058640E" w:rsidRDefault="0058640E" w:rsidP="003349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381352"/>
      <w:docPartObj>
        <w:docPartGallery w:val="Page Numbers (Top of Page)"/>
        <w:docPartUnique/>
      </w:docPartObj>
    </w:sdtPr>
    <w:sdtEndPr/>
    <w:sdtContent>
      <w:p w:rsidR="0033497F" w:rsidRDefault="0033497F" w:rsidP="0033497F">
        <w:pPr>
          <w:pStyle w:val="a6"/>
          <w:jc w:val="right"/>
        </w:pP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7F1591">
          <w:rPr>
            <w:b/>
            <w:bCs/>
            <w:noProof/>
          </w:rPr>
          <w:t>7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7F1591">
          <w:rPr>
            <w:b/>
            <w:bCs/>
            <w:noProof/>
          </w:rPr>
          <w:t>7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33497F" w:rsidRDefault="0033497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4E"/>
    <w:rsid w:val="00002EDB"/>
    <w:rsid w:val="00024570"/>
    <w:rsid w:val="0004015A"/>
    <w:rsid w:val="00054517"/>
    <w:rsid w:val="00093CC0"/>
    <w:rsid w:val="000C1A6C"/>
    <w:rsid w:val="000D59B2"/>
    <w:rsid w:val="00106FDE"/>
    <w:rsid w:val="00116D48"/>
    <w:rsid w:val="0011711C"/>
    <w:rsid w:val="0013622A"/>
    <w:rsid w:val="001506D7"/>
    <w:rsid w:val="001D1711"/>
    <w:rsid w:val="001D3574"/>
    <w:rsid w:val="001D4765"/>
    <w:rsid w:val="001E25EF"/>
    <w:rsid w:val="001E4A15"/>
    <w:rsid w:val="001F7971"/>
    <w:rsid w:val="002019F3"/>
    <w:rsid w:val="00212C1E"/>
    <w:rsid w:val="002218A1"/>
    <w:rsid w:val="002305AE"/>
    <w:rsid w:val="00235871"/>
    <w:rsid w:val="002422C3"/>
    <w:rsid w:val="002439BF"/>
    <w:rsid w:val="0026544B"/>
    <w:rsid w:val="00287351"/>
    <w:rsid w:val="002879B4"/>
    <w:rsid w:val="00290B8B"/>
    <w:rsid w:val="002B0716"/>
    <w:rsid w:val="002B0812"/>
    <w:rsid w:val="002D37ED"/>
    <w:rsid w:val="002D3981"/>
    <w:rsid w:val="002D5229"/>
    <w:rsid w:val="0030410C"/>
    <w:rsid w:val="0032023B"/>
    <w:rsid w:val="00324B1B"/>
    <w:rsid w:val="0033194C"/>
    <w:rsid w:val="0033497F"/>
    <w:rsid w:val="003434D3"/>
    <w:rsid w:val="00350D88"/>
    <w:rsid w:val="003566F1"/>
    <w:rsid w:val="00362522"/>
    <w:rsid w:val="003745BE"/>
    <w:rsid w:val="00384C31"/>
    <w:rsid w:val="00390EDD"/>
    <w:rsid w:val="003A1FCA"/>
    <w:rsid w:val="003A2C38"/>
    <w:rsid w:val="003B53D6"/>
    <w:rsid w:val="003C1B5F"/>
    <w:rsid w:val="00402F6E"/>
    <w:rsid w:val="004076BE"/>
    <w:rsid w:val="004234B5"/>
    <w:rsid w:val="00452D25"/>
    <w:rsid w:val="00456D99"/>
    <w:rsid w:val="0047499B"/>
    <w:rsid w:val="00480BA5"/>
    <w:rsid w:val="0048408D"/>
    <w:rsid w:val="004874ED"/>
    <w:rsid w:val="0049468F"/>
    <w:rsid w:val="00494C0E"/>
    <w:rsid w:val="004B2513"/>
    <w:rsid w:val="004B3B7F"/>
    <w:rsid w:val="004C3F63"/>
    <w:rsid w:val="004C4C44"/>
    <w:rsid w:val="004E38E8"/>
    <w:rsid w:val="004F1F58"/>
    <w:rsid w:val="004F64AE"/>
    <w:rsid w:val="0052043D"/>
    <w:rsid w:val="0052316D"/>
    <w:rsid w:val="0053043F"/>
    <w:rsid w:val="00550027"/>
    <w:rsid w:val="0055695F"/>
    <w:rsid w:val="0056089E"/>
    <w:rsid w:val="00580CB6"/>
    <w:rsid w:val="0058640E"/>
    <w:rsid w:val="00596E01"/>
    <w:rsid w:val="005B0822"/>
    <w:rsid w:val="005B2677"/>
    <w:rsid w:val="005B385E"/>
    <w:rsid w:val="005B6557"/>
    <w:rsid w:val="005F46A9"/>
    <w:rsid w:val="00602AB0"/>
    <w:rsid w:val="00616BAC"/>
    <w:rsid w:val="006177ED"/>
    <w:rsid w:val="006622E2"/>
    <w:rsid w:val="00664695"/>
    <w:rsid w:val="006753FA"/>
    <w:rsid w:val="006764A2"/>
    <w:rsid w:val="006B432F"/>
    <w:rsid w:val="006C1846"/>
    <w:rsid w:val="006C4C0E"/>
    <w:rsid w:val="006D4E61"/>
    <w:rsid w:val="006D5783"/>
    <w:rsid w:val="006E4C06"/>
    <w:rsid w:val="0070432C"/>
    <w:rsid w:val="00721752"/>
    <w:rsid w:val="00753DA7"/>
    <w:rsid w:val="00762A22"/>
    <w:rsid w:val="0076696C"/>
    <w:rsid w:val="00770A5E"/>
    <w:rsid w:val="00794A0C"/>
    <w:rsid w:val="007B3D50"/>
    <w:rsid w:val="007C0D01"/>
    <w:rsid w:val="007C68C6"/>
    <w:rsid w:val="007C7771"/>
    <w:rsid w:val="007D572D"/>
    <w:rsid w:val="007D709E"/>
    <w:rsid w:val="007D7E87"/>
    <w:rsid w:val="007F1591"/>
    <w:rsid w:val="007F5240"/>
    <w:rsid w:val="008011AA"/>
    <w:rsid w:val="0081333D"/>
    <w:rsid w:val="00826141"/>
    <w:rsid w:val="008431B7"/>
    <w:rsid w:val="00846FA8"/>
    <w:rsid w:val="008523D2"/>
    <w:rsid w:val="00875AA5"/>
    <w:rsid w:val="00884271"/>
    <w:rsid w:val="00891687"/>
    <w:rsid w:val="00894B79"/>
    <w:rsid w:val="008A7D7A"/>
    <w:rsid w:val="008B1A40"/>
    <w:rsid w:val="008B3868"/>
    <w:rsid w:val="008C5082"/>
    <w:rsid w:val="008F5580"/>
    <w:rsid w:val="0090327D"/>
    <w:rsid w:val="0090731A"/>
    <w:rsid w:val="00911145"/>
    <w:rsid w:val="009633D9"/>
    <w:rsid w:val="00965AFA"/>
    <w:rsid w:val="00976543"/>
    <w:rsid w:val="009B06AB"/>
    <w:rsid w:val="009B237A"/>
    <w:rsid w:val="009D3209"/>
    <w:rsid w:val="009F0CA4"/>
    <w:rsid w:val="00A018F9"/>
    <w:rsid w:val="00A06583"/>
    <w:rsid w:val="00A11E6F"/>
    <w:rsid w:val="00A17676"/>
    <w:rsid w:val="00A33FD1"/>
    <w:rsid w:val="00A402C3"/>
    <w:rsid w:val="00A50B33"/>
    <w:rsid w:val="00A7468A"/>
    <w:rsid w:val="00AA120C"/>
    <w:rsid w:val="00AB5CFA"/>
    <w:rsid w:val="00AC44A7"/>
    <w:rsid w:val="00AF036A"/>
    <w:rsid w:val="00AF7E3D"/>
    <w:rsid w:val="00B12B9B"/>
    <w:rsid w:val="00B25EB8"/>
    <w:rsid w:val="00B32544"/>
    <w:rsid w:val="00B473D8"/>
    <w:rsid w:val="00B50D42"/>
    <w:rsid w:val="00B51C25"/>
    <w:rsid w:val="00B52B24"/>
    <w:rsid w:val="00B6190E"/>
    <w:rsid w:val="00B70991"/>
    <w:rsid w:val="00B7205F"/>
    <w:rsid w:val="00B85BF6"/>
    <w:rsid w:val="00B87235"/>
    <w:rsid w:val="00B87CC8"/>
    <w:rsid w:val="00BA5E9C"/>
    <w:rsid w:val="00BA7AA7"/>
    <w:rsid w:val="00BD119A"/>
    <w:rsid w:val="00C50298"/>
    <w:rsid w:val="00C64AF3"/>
    <w:rsid w:val="00C64E25"/>
    <w:rsid w:val="00C73082"/>
    <w:rsid w:val="00C7605E"/>
    <w:rsid w:val="00C80A7C"/>
    <w:rsid w:val="00C825D9"/>
    <w:rsid w:val="00C90F2C"/>
    <w:rsid w:val="00C9293D"/>
    <w:rsid w:val="00CD0F7A"/>
    <w:rsid w:val="00CD3F53"/>
    <w:rsid w:val="00CF2D8E"/>
    <w:rsid w:val="00D2786C"/>
    <w:rsid w:val="00D27D9C"/>
    <w:rsid w:val="00D6568D"/>
    <w:rsid w:val="00D6750C"/>
    <w:rsid w:val="00D77A46"/>
    <w:rsid w:val="00D80948"/>
    <w:rsid w:val="00D821E8"/>
    <w:rsid w:val="00DC0BD3"/>
    <w:rsid w:val="00DC6D6C"/>
    <w:rsid w:val="00DF75E3"/>
    <w:rsid w:val="00E04C63"/>
    <w:rsid w:val="00E153DE"/>
    <w:rsid w:val="00E27B74"/>
    <w:rsid w:val="00E3136D"/>
    <w:rsid w:val="00E408E0"/>
    <w:rsid w:val="00E4204E"/>
    <w:rsid w:val="00E427EC"/>
    <w:rsid w:val="00E45BEB"/>
    <w:rsid w:val="00E650CC"/>
    <w:rsid w:val="00E813B0"/>
    <w:rsid w:val="00E902C3"/>
    <w:rsid w:val="00E90546"/>
    <w:rsid w:val="00E90710"/>
    <w:rsid w:val="00EA45D3"/>
    <w:rsid w:val="00EB55BA"/>
    <w:rsid w:val="00F01712"/>
    <w:rsid w:val="00F057ED"/>
    <w:rsid w:val="00F0698F"/>
    <w:rsid w:val="00F10A8F"/>
    <w:rsid w:val="00F1216B"/>
    <w:rsid w:val="00F21379"/>
    <w:rsid w:val="00F53572"/>
    <w:rsid w:val="00F565B6"/>
    <w:rsid w:val="00F65489"/>
    <w:rsid w:val="00F84E9F"/>
    <w:rsid w:val="00FA012F"/>
    <w:rsid w:val="00FE2860"/>
    <w:rsid w:val="050F6516"/>
    <w:rsid w:val="0AFC15E8"/>
    <w:rsid w:val="0E977E72"/>
    <w:rsid w:val="0FA17992"/>
    <w:rsid w:val="10F57740"/>
    <w:rsid w:val="114F61E9"/>
    <w:rsid w:val="21FD38F6"/>
    <w:rsid w:val="288A049E"/>
    <w:rsid w:val="2DC41EB4"/>
    <w:rsid w:val="5CCB5CF1"/>
    <w:rsid w:val="7BE4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0BD6041-B704-49F3-9503-8AB925A6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Char3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Normal (Web)"/>
    <w:basedOn w:val="a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styleId="a9">
    <w:name w:val="Title"/>
    <w:basedOn w:val="a"/>
    <w:next w:val="a"/>
    <w:link w:val="Char4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annotation subject"/>
    <w:basedOn w:val="a3"/>
    <w:next w:val="a3"/>
    <w:link w:val="Char5"/>
    <w:uiPriority w:val="99"/>
    <w:semiHidden/>
    <w:unhideWhenUsed/>
    <w:qFormat/>
    <w:rPr>
      <w:b/>
      <w:bCs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line number"/>
    <w:basedOn w:val="a0"/>
    <w:uiPriority w:val="99"/>
    <w:semiHidden/>
    <w:unhideWhenUsed/>
    <w:qFormat/>
  </w:style>
  <w:style w:type="character" w:styleId="ad">
    <w:name w:val="annotation reference"/>
    <w:basedOn w:val="a0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365F9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365F9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365F9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4">
    <w:name w:val="标题 Char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3">
    <w:name w:val="副标题 Char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Char6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6">
    <w:name w:val="引用 Char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365F91" w:themeColor="accent1" w:themeShade="BF"/>
    </w:rPr>
  </w:style>
  <w:style w:type="paragraph" w:styleId="af0">
    <w:name w:val="Intense Quote"/>
    <w:basedOn w:val="a"/>
    <w:next w:val="a"/>
    <w:link w:val="Char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7">
    <w:name w:val="明显引用 Char"/>
    <w:basedOn w:val="a0"/>
    <w:link w:val="af0"/>
    <w:uiPriority w:val="30"/>
    <w:qFormat/>
    <w:rPr>
      <w:i/>
      <w:iCs/>
      <w:color w:val="365F9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qFormat/>
  </w:style>
  <w:style w:type="character" w:customStyle="1" w:styleId="Char5">
    <w:name w:val="批注主题 Char"/>
    <w:basedOn w:val="Char"/>
    <w:link w:val="aa"/>
    <w:uiPriority w:val="99"/>
    <w:semiHidden/>
    <w:qFormat/>
    <w:rPr>
      <w:b/>
      <w:bCs/>
    </w:rPr>
  </w:style>
  <w:style w:type="paragraph" w:customStyle="1" w:styleId="12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3">
    <w:name w:val="书目1"/>
    <w:basedOn w:val="a"/>
    <w:next w:val="a"/>
    <w:uiPriority w:val="37"/>
    <w:unhideWhenUsed/>
    <w:qFormat/>
    <w:pPr>
      <w:tabs>
        <w:tab w:val="left" w:pos="264"/>
      </w:tabs>
      <w:spacing w:after="240"/>
      <w:ind w:left="264" w:hanging="264"/>
    </w:pPr>
  </w:style>
  <w:style w:type="paragraph" w:customStyle="1" w:styleId="20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Notesoncontributors">
    <w:name w:val="Notes on contributors"/>
    <w:basedOn w:val="a"/>
    <w:qFormat/>
    <w:pPr>
      <w:widowControl/>
      <w:spacing w:before="240" w:line="360" w:lineRule="auto"/>
      <w:jc w:val="left"/>
    </w:pPr>
    <w:rPr>
      <w:rFonts w:ascii="Times New Roman" w:hAnsi="Times New Roman" w:cs="Times New Roman"/>
      <w:kern w:val="0"/>
      <w:sz w:val="22"/>
      <w:szCs w:val="24"/>
      <w:lang w:val="en-GB" w:eastAsia="en-GB"/>
    </w:rPr>
  </w:style>
  <w:style w:type="paragraph" w:customStyle="1" w:styleId="21">
    <w:name w:val="书目2"/>
    <w:basedOn w:val="a"/>
    <w:next w:val="a"/>
    <w:uiPriority w:val="37"/>
    <w:unhideWhenUsed/>
    <w:qFormat/>
    <w:pPr>
      <w:ind w:left="720" w:hanging="720"/>
    </w:pPr>
  </w:style>
  <w:style w:type="paragraph" w:customStyle="1" w:styleId="Newparagraph">
    <w:name w:val="New paragraph"/>
    <w:basedOn w:val="a"/>
    <w:qFormat/>
    <w:pPr>
      <w:widowControl/>
      <w:spacing w:line="480" w:lineRule="auto"/>
      <w:ind w:firstLine="720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30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Articletitle">
    <w:name w:val="Article title"/>
    <w:basedOn w:val="a"/>
    <w:next w:val="a"/>
    <w:qFormat/>
    <w:pPr>
      <w:widowControl/>
      <w:spacing w:after="120" w:line="360" w:lineRule="auto"/>
      <w:jc w:val="left"/>
    </w:pPr>
    <w:rPr>
      <w:rFonts w:ascii="Times New Roman" w:hAnsi="Times New Roman" w:cs="Times New Roman"/>
      <w:b/>
      <w:kern w:val="0"/>
      <w:sz w:val="28"/>
      <w:szCs w:val="24"/>
      <w:lang w:val="en-GB" w:eastAsia="en-GB"/>
    </w:rPr>
  </w:style>
  <w:style w:type="paragraph" w:customStyle="1" w:styleId="Authornames">
    <w:name w:val="Author names"/>
    <w:basedOn w:val="a"/>
    <w:next w:val="a"/>
    <w:qFormat/>
    <w:pPr>
      <w:widowControl/>
      <w:spacing w:before="240" w:line="360" w:lineRule="auto"/>
      <w:jc w:val="left"/>
    </w:pPr>
    <w:rPr>
      <w:rFonts w:ascii="Times New Roman" w:hAnsi="Times New Roman" w:cs="Times New Roman"/>
      <w:kern w:val="0"/>
      <w:sz w:val="28"/>
      <w:szCs w:val="24"/>
      <w:lang w:val="en-GB" w:eastAsia="en-GB"/>
    </w:rPr>
  </w:style>
  <w:style w:type="paragraph" w:customStyle="1" w:styleId="Affiliation">
    <w:name w:val="Affiliation"/>
    <w:basedOn w:val="a"/>
    <w:qFormat/>
    <w:pPr>
      <w:widowControl/>
      <w:spacing w:before="240" w:line="360" w:lineRule="auto"/>
      <w:jc w:val="left"/>
    </w:pPr>
    <w:rPr>
      <w:rFonts w:ascii="Times New Roman" w:hAnsi="Times New Roman" w:cs="Times New Roman"/>
      <w:i/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9679C-BE2B-461C-9146-8C7D71841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7</Pages>
  <Words>1903</Words>
  <Characters>10852</Characters>
  <Application>Microsoft Office Word</Application>
  <DocSecurity>0</DocSecurity>
  <Lines>90</Lines>
  <Paragraphs>25</Paragraphs>
  <ScaleCrop>false</ScaleCrop>
  <Company/>
  <LinksUpToDate>false</LinksUpToDate>
  <CharactersWithSpaces>12730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liyan FU</dc:creator>
  <cp:lastModifiedBy>Lenovo</cp:lastModifiedBy>
  <cp:revision>18</cp:revision>
  <dcterms:created xsi:type="dcterms:W3CDTF">2026-08-12T14:28:00Z</dcterms:created>
  <dcterms:modified xsi:type="dcterms:W3CDTF">2026-09-11T07:47:00Z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id="J7urFmGJ"/&gt;&lt;style id="http://www.zotero.org/styles/virology" hasBibliography="1" bibliographyStyleHasBeenSet="1"/&gt;&lt;prefs&gt;&lt;pref name="fieldType" value="Field"/&gt;&lt;/prefs&gt;&lt;/data&gt;</vt:lpwstr>
  </property>
  <property fmtid="{D5CDD505-2E9C-101B-9397-08002B2CF9AE}" pid="3" name="KSOTemplateDocerSaveRecord">
    <vt:lpwstr>eyJoZGlkIjoiYjVhODRmMGRmMjJlN2YzMWU2OTAzMDlhMjc5OTgzOTIiLCJ1c2VySWQiOiI3NjE5ODQzMTgifQ==</vt:lpwstr>
  </property>
  <property fmtid="{D5CDD505-2E9C-101B-9397-08002B2CF9AE}" pid="4" name="KSOProductBuildVer">
    <vt:lpwstr>2052-12.1.0.28043</vt:lpwstr>
  </property>
  <property fmtid="{D5CDD505-2E9C-101B-9397-08002B2CF9AE}" pid="5" name="ICV">
    <vt:lpwstr>AAC5320A13D4441FB3FEAAE0C1937803_13</vt:lpwstr>
  </property>
</Properties>
</file>