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49B591" w14:textId="77777777" w:rsidR="00604695" w:rsidRDefault="00FF1629">
      <w:pPr>
        <w:adjustRightInd w:val="0"/>
        <w:snapToGrid w:val="0"/>
        <w:spacing w:line="360" w:lineRule="auto"/>
        <w:rPr>
          <w:rFonts w:cs="Times New Roman"/>
          <w:b/>
          <w:bCs/>
          <w:i/>
          <w:sz w:val="28"/>
        </w:rPr>
      </w:pPr>
      <w:bookmarkStart w:id="0" w:name="_Toc110886017"/>
      <w:r>
        <w:rPr>
          <w:rFonts w:cs="Times New Roman"/>
          <w:b/>
          <w:bCs/>
          <w:i/>
          <w:sz w:val="28"/>
        </w:rPr>
        <w:t>Virologica Sinica</w:t>
      </w:r>
    </w:p>
    <w:p w14:paraId="4AC77B0E" w14:textId="77777777" w:rsidR="00604695" w:rsidRDefault="00FF1629">
      <w:pPr>
        <w:adjustRightInd w:val="0"/>
        <w:snapToGrid w:val="0"/>
        <w:spacing w:line="360" w:lineRule="auto"/>
        <w:rPr>
          <w:rFonts w:cs="Times New Roman"/>
          <w:b/>
          <w:bCs/>
          <w:sz w:val="28"/>
        </w:rPr>
      </w:pPr>
      <w:r>
        <w:rPr>
          <w:rFonts w:cs="Times New Roman"/>
          <w:b/>
          <w:bCs/>
          <w:sz w:val="28"/>
        </w:rPr>
        <w:t>Supplementary Materials</w:t>
      </w:r>
    </w:p>
    <w:p w14:paraId="59F91D95" w14:textId="77777777" w:rsidR="00604695" w:rsidRDefault="00604695">
      <w:pPr>
        <w:adjustRightInd w:val="0"/>
        <w:snapToGrid w:val="0"/>
        <w:spacing w:line="360" w:lineRule="auto"/>
        <w:rPr>
          <w:rFonts w:cs="Times New Roman"/>
          <w:b/>
          <w:bCs/>
          <w:color w:val="000000" w:themeColor="text1"/>
          <w:sz w:val="32"/>
          <w:szCs w:val="32"/>
        </w:rPr>
      </w:pPr>
    </w:p>
    <w:p w14:paraId="46416281" w14:textId="77777777" w:rsidR="00604695" w:rsidRDefault="00FF1629">
      <w:pPr>
        <w:adjustRightInd w:val="0"/>
        <w:snapToGrid w:val="0"/>
        <w:spacing w:line="360" w:lineRule="auto"/>
        <w:rPr>
          <w:rFonts w:eastAsia="宋体" w:cs="Times New Roman"/>
          <w:b/>
          <w:bCs/>
          <w:sz w:val="28"/>
          <w:szCs w:val="28"/>
        </w:rPr>
      </w:pPr>
      <w:r>
        <w:rPr>
          <w:rFonts w:eastAsia="宋体" w:cs="Times New Roman"/>
          <w:b/>
          <w:bCs/>
          <w:sz w:val="28"/>
          <w:szCs w:val="28"/>
        </w:rPr>
        <w:t>Synergistic effect of combinational SHEN26 and PF07817883 in SARS-CoV-2 infection</w:t>
      </w:r>
    </w:p>
    <w:p w14:paraId="5D512CDF" w14:textId="77777777" w:rsidR="00604695" w:rsidRDefault="00FF1629">
      <w:pPr>
        <w:pStyle w:val="Authornames"/>
        <w:adjustRightInd w:val="0"/>
        <w:snapToGrid w:val="0"/>
        <w:rPr>
          <w:rFonts w:cs="Times New Roman"/>
          <w:sz w:val="24"/>
          <w:lang w:val="en-GB" w:eastAsia="en-GB"/>
        </w:rPr>
      </w:pPr>
      <w:r>
        <w:rPr>
          <w:rFonts w:cs="Times New Roman"/>
          <w:sz w:val="24"/>
          <w:lang w:val="en-GB" w:eastAsia="en-GB"/>
        </w:rPr>
        <w:t>Jiacheng Huang</w:t>
      </w:r>
      <w:r>
        <w:rPr>
          <w:rFonts w:cs="Times New Roman"/>
          <w:sz w:val="24"/>
          <w:vertAlign w:val="superscript"/>
          <w:lang w:val="en-GB" w:eastAsia="en-GB"/>
        </w:rPr>
        <w:t>a</w:t>
      </w:r>
      <w:bookmarkStart w:id="1" w:name="OLE_LINK86"/>
      <w:r>
        <w:rPr>
          <w:rFonts w:cs="Times New Roman"/>
          <w:sz w:val="24"/>
          <w:vertAlign w:val="superscript"/>
          <w:lang w:val="en-GB" w:eastAsia="en-GB"/>
        </w:rPr>
        <w:t xml:space="preserve">, </w:t>
      </w:r>
      <w:bookmarkEnd w:id="1"/>
      <w:r>
        <w:rPr>
          <w:rFonts w:cs="Times New Roman"/>
          <w:sz w:val="24"/>
          <w:vertAlign w:val="superscript"/>
          <w:lang w:val="en-GB" w:eastAsia="en-GB"/>
        </w:rPr>
        <w:t>b, 1</w:t>
      </w:r>
      <w:r>
        <w:rPr>
          <w:rFonts w:cs="Times New Roman"/>
          <w:sz w:val="24"/>
          <w:lang w:val="en-GB" w:eastAsia="en-GB"/>
        </w:rPr>
        <w:t>, Yujian Yang</w:t>
      </w:r>
      <w:r>
        <w:rPr>
          <w:rFonts w:cs="Times New Roman"/>
          <w:sz w:val="24"/>
          <w:vertAlign w:val="superscript"/>
          <w:lang w:val="en-GB" w:eastAsia="en-GB"/>
        </w:rPr>
        <w:t>c, 1</w:t>
      </w:r>
      <w:r>
        <w:rPr>
          <w:rFonts w:cs="Times New Roman"/>
          <w:sz w:val="24"/>
          <w:lang w:val="en-GB" w:eastAsia="en-GB"/>
        </w:rPr>
        <w:t xml:space="preserve">, </w:t>
      </w:r>
      <w:bookmarkStart w:id="2" w:name="OLE_LINK87"/>
      <w:bookmarkStart w:id="3" w:name="OLE_LINK88"/>
      <w:r>
        <w:rPr>
          <w:rFonts w:cs="Times New Roman"/>
          <w:sz w:val="24"/>
          <w:lang w:val="en-GB" w:eastAsia="en-GB"/>
        </w:rPr>
        <w:t>Tiefeng Xu</w:t>
      </w:r>
      <w:bookmarkEnd w:id="2"/>
      <w:bookmarkEnd w:id="3"/>
      <w:r>
        <w:rPr>
          <w:rFonts w:cs="Times New Roman"/>
          <w:sz w:val="24"/>
          <w:vertAlign w:val="superscript"/>
          <w:lang w:val="en-GB" w:eastAsia="en-GB"/>
        </w:rPr>
        <w:t>d, 1</w:t>
      </w:r>
      <w:r>
        <w:rPr>
          <w:rFonts w:cs="Times New Roman"/>
          <w:sz w:val="24"/>
          <w:lang w:val="en-GB" w:eastAsia="en-GB"/>
        </w:rPr>
        <w:t>, Jianwei Liang</w:t>
      </w:r>
      <w:r>
        <w:rPr>
          <w:rFonts w:cs="Times New Roman"/>
          <w:sz w:val="24"/>
          <w:vertAlign w:val="superscript"/>
          <w:lang w:val="en-GB"/>
        </w:rPr>
        <w:t>a</w:t>
      </w:r>
      <w:r>
        <w:rPr>
          <w:rFonts w:cs="Times New Roman"/>
          <w:sz w:val="24"/>
          <w:lang w:val="en-GB" w:eastAsia="en-GB"/>
        </w:rPr>
        <w:t>, Xin Wang</w:t>
      </w:r>
      <w:r>
        <w:rPr>
          <w:rFonts w:cs="Times New Roman"/>
          <w:sz w:val="24"/>
          <w:vertAlign w:val="superscript"/>
          <w:lang w:val="en-GB"/>
        </w:rPr>
        <w:t>a</w:t>
      </w:r>
      <w:r>
        <w:rPr>
          <w:rFonts w:cs="Times New Roman"/>
          <w:sz w:val="24"/>
          <w:lang w:val="en-GB" w:eastAsia="en-GB"/>
        </w:rPr>
        <w:t>, Guanguan Li</w:t>
      </w:r>
      <w:r>
        <w:rPr>
          <w:rFonts w:cs="Times New Roman"/>
          <w:sz w:val="24"/>
          <w:vertAlign w:val="superscript"/>
          <w:lang w:val="en-GB" w:eastAsia="en-GB"/>
        </w:rPr>
        <w:t>e</w:t>
      </w:r>
      <w:r>
        <w:rPr>
          <w:rFonts w:cs="Times New Roman"/>
          <w:sz w:val="24"/>
          <w:lang w:val="en-GB" w:eastAsia="en-GB"/>
        </w:rPr>
        <w:t>, Lihong Liu</w:t>
      </w:r>
      <w:r>
        <w:rPr>
          <w:rFonts w:cs="Times New Roman"/>
          <w:sz w:val="24"/>
          <w:vertAlign w:val="superscript"/>
          <w:lang w:val="en-GB"/>
        </w:rPr>
        <w:t>a</w:t>
      </w:r>
      <w:r>
        <w:rPr>
          <w:rFonts w:cs="Times New Roman"/>
          <w:sz w:val="24"/>
          <w:lang w:val="en-GB" w:eastAsia="en-GB"/>
        </w:rPr>
        <w:t>, Keda Shi</w:t>
      </w:r>
      <w:r>
        <w:rPr>
          <w:rFonts w:cs="Times New Roman"/>
          <w:sz w:val="24"/>
          <w:vertAlign w:val="superscript"/>
          <w:lang w:val="en-GB" w:eastAsia="en-GB"/>
        </w:rPr>
        <w:t>d</w:t>
      </w:r>
      <w:r>
        <w:rPr>
          <w:rFonts w:cs="Times New Roman"/>
          <w:sz w:val="24"/>
          <w:lang w:val="en-GB" w:eastAsia="en-GB"/>
        </w:rPr>
        <w:t>, Zhao Lv</w:t>
      </w:r>
      <w:r>
        <w:rPr>
          <w:rFonts w:cs="Times New Roman"/>
          <w:sz w:val="24"/>
          <w:vertAlign w:val="superscript"/>
          <w:lang w:val="en-GB" w:eastAsia="en-GB"/>
        </w:rPr>
        <w:t>f</w:t>
      </w:r>
      <w:r>
        <w:rPr>
          <w:rFonts w:cs="Times New Roman"/>
          <w:sz w:val="24"/>
          <w:lang w:val="en-GB" w:eastAsia="en-GB"/>
        </w:rPr>
        <w:t>, Xikui Sun</w:t>
      </w:r>
      <w:r>
        <w:rPr>
          <w:rFonts w:cs="Times New Roman"/>
          <w:sz w:val="24"/>
          <w:vertAlign w:val="superscript"/>
          <w:lang w:val="en-GB"/>
        </w:rPr>
        <w:t>a</w:t>
      </w:r>
      <w:r>
        <w:rPr>
          <w:rFonts w:cs="Times New Roman"/>
          <w:sz w:val="24"/>
          <w:lang w:val="en-GB" w:eastAsia="en-GB"/>
        </w:rPr>
        <w:t>, Chunmei Li</w:t>
      </w:r>
      <w:r>
        <w:rPr>
          <w:rFonts w:cs="Times New Roman"/>
          <w:sz w:val="24"/>
          <w:vertAlign w:val="superscript"/>
          <w:lang w:val="en-GB" w:eastAsia="en-GB"/>
        </w:rPr>
        <w:t>f</w:t>
      </w:r>
      <w:r>
        <w:rPr>
          <w:rFonts w:cs="Times New Roman"/>
          <w:sz w:val="24"/>
          <w:lang w:val="en-GB" w:eastAsia="en-GB"/>
        </w:rPr>
        <w:t>, Xumu Zhang</w:t>
      </w:r>
      <w:r>
        <w:rPr>
          <w:rFonts w:cs="Times New Roman"/>
          <w:sz w:val="24"/>
          <w:vertAlign w:val="superscript"/>
          <w:lang w:val="en-GB" w:eastAsia="en-GB"/>
        </w:rPr>
        <w:t>c</w:t>
      </w:r>
      <w:r>
        <w:rPr>
          <w:rFonts w:eastAsia="宋体" w:cs="Times New Roman"/>
          <w:sz w:val="24"/>
        </w:rPr>
        <w:t xml:space="preserve">, </w:t>
      </w:r>
      <w:r>
        <w:rPr>
          <w:rFonts w:cs="Times New Roman"/>
          <w:sz w:val="24"/>
          <w:lang w:val="en-GB" w:eastAsia="en-GB"/>
        </w:rPr>
        <w:t>Qifan Zhou</w:t>
      </w:r>
      <w:r>
        <w:rPr>
          <w:rFonts w:cs="Times New Roman"/>
          <w:sz w:val="24"/>
          <w:vertAlign w:val="superscript"/>
          <w:lang w:val="en-GB" w:eastAsia="en-GB"/>
        </w:rPr>
        <w:t>c, *</w:t>
      </w:r>
      <w:r>
        <w:rPr>
          <w:rFonts w:cs="Times New Roman"/>
          <w:sz w:val="24"/>
          <w:lang w:val="en-GB" w:eastAsia="en-GB"/>
        </w:rPr>
        <w:t>, Sidi Yang</w:t>
      </w:r>
      <w:r>
        <w:rPr>
          <w:rFonts w:cs="Times New Roman"/>
          <w:sz w:val="24"/>
          <w:vertAlign w:val="superscript"/>
          <w:lang w:val="en-GB"/>
        </w:rPr>
        <w:t>a</w:t>
      </w:r>
      <w:r>
        <w:rPr>
          <w:rFonts w:cs="Times New Roman"/>
          <w:sz w:val="24"/>
          <w:vertAlign w:val="superscript"/>
          <w:lang w:val="en-GB" w:eastAsia="en-GB"/>
        </w:rPr>
        <w:t>, *</w:t>
      </w:r>
      <w:r>
        <w:rPr>
          <w:rFonts w:cs="Times New Roman"/>
          <w:sz w:val="24"/>
          <w:lang w:val="en-GB" w:eastAsia="en-GB"/>
        </w:rPr>
        <w:t>, Deyin Guo</w:t>
      </w:r>
      <w:r>
        <w:rPr>
          <w:rFonts w:cs="Times New Roman"/>
          <w:sz w:val="24"/>
          <w:vertAlign w:val="superscript"/>
          <w:lang w:val="en-GB" w:eastAsia="en-GB"/>
        </w:rPr>
        <w:t>a, b, *</w:t>
      </w:r>
    </w:p>
    <w:p w14:paraId="4B565C4D" w14:textId="77777777" w:rsidR="00604695" w:rsidRDefault="00604695">
      <w:pPr>
        <w:pStyle w:val="Authornames"/>
        <w:widowControl/>
        <w:adjustRightInd w:val="0"/>
        <w:snapToGrid w:val="0"/>
        <w:rPr>
          <w:rFonts w:cs="Times New Roman"/>
          <w:kern w:val="0"/>
          <w:szCs w:val="24"/>
          <w:lang w:val="en-GB" w:eastAsia="en-GB"/>
        </w:rPr>
      </w:pPr>
    </w:p>
    <w:p w14:paraId="178534E1" w14:textId="46F1DF1A" w:rsidR="00604695" w:rsidRDefault="00FF1629">
      <w:pPr>
        <w:adjustRightInd w:val="0"/>
        <w:snapToGrid w:val="0"/>
        <w:spacing w:line="360" w:lineRule="auto"/>
        <w:rPr>
          <w:rFonts w:cs="Times New Roman"/>
          <w:lang w:val="en-GB" w:eastAsia="en-GB"/>
        </w:rPr>
      </w:pPr>
      <w:r>
        <w:rPr>
          <w:rFonts w:eastAsia="宋体" w:cs="Times New Roman"/>
          <w:vertAlign w:val="superscript"/>
        </w:rPr>
        <w:t xml:space="preserve">a </w:t>
      </w:r>
      <w:r>
        <w:rPr>
          <w:rFonts w:cs="Times New Roman"/>
          <w:lang w:val="en-GB" w:eastAsia="en-GB"/>
        </w:rPr>
        <w:t>Guangzhou National Laboratory, Guangzhou International Bio Island, Guangzhou 510005, China</w:t>
      </w:r>
    </w:p>
    <w:p w14:paraId="6C4A60BF" w14:textId="77777777" w:rsidR="00604695" w:rsidRDefault="00FF1629">
      <w:pPr>
        <w:adjustRightInd w:val="0"/>
        <w:snapToGrid w:val="0"/>
        <w:spacing w:line="360" w:lineRule="auto"/>
        <w:rPr>
          <w:rFonts w:cs="Times New Roman"/>
          <w:lang w:val="en-GB" w:eastAsia="en-GB"/>
        </w:rPr>
      </w:pPr>
      <w:r>
        <w:rPr>
          <w:rFonts w:eastAsia="宋体" w:cs="Times New Roman"/>
          <w:vertAlign w:val="superscript"/>
        </w:rPr>
        <w:t>b</w:t>
      </w:r>
      <w:r>
        <w:rPr>
          <w:rFonts w:eastAsia="宋体" w:cs="Times New Roman"/>
        </w:rPr>
        <w:t xml:space="preserve"> </w:t>
      </w:r>
      <w:r>
        <w:rPr>
          <w:rFonts w:cs="Times New Roman"/>
          <w:lang w:val="en-GB" w:eastAsia="en-GB"/>
        </w:rPr>
        <w:t>Institute of Human Virology, Department of Pathogen Biology and Biosecurity, and Key Laboratory of Tropical Disease Control of Ministry of Education, Zhongshan School of Medicine, Sun Yat-sen University, Guangzhou 510080, China</w:t>
      </w:r>
    </w:p>
    <w:p w14:paraId="7C6E6463" w14:textId="043F3DDE" w:rsidR="00604695" w:rsidRDefault="00FF1629">
      <w:pPr>
        <w:adjustRightInd w:val="0"/>
        <w:snapToGrid w:val="0"/>
        <w:spacing w:line="360" w:lineRule="auto"/>
        <w:rPr>
          <w:rFonts w:cs="Times New Roman"/>
          <w:lang w:val="en-GB" w:eastAsia="en-GB"/>
        </w:rPr>
      </w:pPr>
      <w:r>
        <w:rPr>
          <w:rFonts w:cs="Times New Roman"/>
          <w:vertAlign w:val="superscript"/>
          <w:lang w:val="en-GB" w:eastAsia="en-GB"/>
        </w:rPr>
        <w:t>c</w:t>
      </w:r>
      <w:r>
        <w:rPr>
          <w:rFonts w:cs="Times New Roman"/>
          <w:lang w:val="en-GB" w:eastAsia="en-GB"/>
        </w:rPr>
        <w:t xml:space="preserve"> Shenzhen Key Laboratory of Small Molecule Drug Discovery and Synthesis, Department of Chemistry, College of Science, Academy for Advanced Interdisciplinary Studies and Medi-X Pingshan, Southern University of Science and Technology, Shenzhen </w:t>
      </w:r>
      <w:r>
        <w:rPr>
          <w:rFonts w:eastAsia="宋体" w:hint="eastAsia"/>
        </w:rPr>
        <w:t>518055</w:t>
      </w:r>
      <w:r>
        <w:rPr>
          <w:rFonts w:cs="Times New Roman"/>
          <w:lang w:val="en-GB" w:eastAsia="en-GB"/>
        </w:rPr>
        <w:t>, China</w:t>
      </w:r>
    </w:p>
    <w:p w14:paraId="320E2479" w14:textId="6E590014" w:rsidR="00604695" w:rsidRDefault="00FF1629">
      <w:pPr>
        <w:adjustRightInd w:val="0"/>
        <w:snapToGrid w:val="0"/>
        <w:spacing w:line="360" w:lineRule="auto"/>
        <w:rPr>
          <w:rFonts w:cs="Times New Roman"/>
          <w:lang w:val="en-GB" w:eastAsia="en-GB"/>
        </w:rPr>
      </w:pPr>
      <w:bookmarkStart w:id="4" w:name="_Hlk125151538"/>
      <w:r>
        <w:rPr>
          <w:rFonts w:cs="Times New Roman"/>
          <w:vertAlign w:val="superscript"/>
          <w:lang w:val="en-GB" w:eastAsia="en-GB"/>
        </w:rPr>
        <w:t>d</w:t>
      </w:r>
      <w:r>
        <w:rPr>
          <w:rFonts w:cs="Times New Roman"/>
          <w:lang w:val="en-GB" w:eastAsia="en-GB"/>
        </w:rPr>
        <w:t xml:space="preserve"> State Key Laboratory of Respiratory Disease, National Clinical Research Center for Respiratory Disease, Guangzhou Institute of Respiratory Health, the First Affiliated Hospital of Guangzhou Medical University, Guangzhou </w:t>
      </w:r>
      <w:r>
        <w:rPr>
          <w:rFonts w:hint="eastAsia"/>
          <w:lang w:val="en-GB" w:eastAsia="en-GB"/>
        </w:rPr>
        <w:t>510145</w:t>
      </w:r>
      <w:r>
        <w:rPr>
          <w:rFonts w:cs="Times New Roman"/>
          <w:lang w:val="en-GB" w:eastAsia="en-GB"/>
        </w:rPr>
        <w:t>, China</w:t>
      </w:r>
      <w:bookmarkEnd w:id="4"/>
      <w:r>
        <w:rPr>
          <w:rFonts w:cs="Times New Roman"/>
          <w:lang w:val="en-GB" w:eastAsia="en-GB"/>
        </w:rPr>
        <w:t>.</w:t>
      </w:r>
    </w:p>
    <w:p w14:paraId="639A0F32" w14:textId="2D8C7F2E" w:rsidR="00604695" w:rsidRDefault="00FF1629">
      <w:pPr>
        <w:adjustRightInd w:val="0"/>
        <w:snapToGrid w:val="0"/>
        <w:spacing w:line="360" w:lineRule="auto"/>
        <w:rPr>
          <w:rFonts w:cs="Times New Roman"/>
          <w:lang w:val="en-GB" w:eastAsia="en-GB"/>
        </w:rPr>
      </w:pPr>
      <w:r>
        <w:rPr>
          <w:rFonts w:cs="Times New Roman"/>
          <w:vertAlign w:val="superscript"/>
          <w:lang w:val="en-GB" w:eastAsia="en-GB"/>
        </w:rPr>
        <w:t>e</w:t>
      </w:r>
      <w:r>
        <w:rPr>
          <w:rFonts w:cs="Times New Roman"/>
          <w:lang w:val="en-GB" w:eastAsia="en-GB"/>
        </w:rPr>
        <w:t xml:space="preserve"> Shenzhen AntiV Pharma Co. Ltd., Shenzhen</w:t>
      </w:r>
      <w:r w:rsidR="001D5CCE">
        <w:rPr>
          <w:rFonts w:eastAsiaTheme="minorEastAsia" w:cs="Times New Roman" w:hint="eastAsia"/>
          <w:lang w:val="en-GB"/>
        </w:rPr>
        <w:t xml:space="preserve"> </w:t>
      </w:r>
      <w:r>
        <w:rPr>
          <w:rFonts w:cs="Times New Roman"/>
          <w:lang w:val="en-GB" w:eastAsia="en-GB"/>
        </w:rPr>
        <w:t>518118, China.</w:t>
      </w:r>
    </w:p>
    <w:p w14:paraId="2845D7D1" w14:textId="117CD67F" w:rsidR="00604695" w:rsidRDefault="00FF1629">
      <w:pPr>
        <w:adjustRightInd w:val="0"/>
        <w:snapToGrid w:val="0"/>
        <w:spacing w:line="360" w:lineRule="auto"/>
        <w:rPr>
          <w:rFonts w:cs="Times New Roman"/>
          <w:lang w:val="en-GB" w:eastAsia="en-GB"/>
        </w:rPr>
      </w:pPr>
      <w:r>
        <w:rPr>
          <w:rFonts w:cs="Times New Roman"/>
          <w:vertAlign w:val="superscript"/>
          <w:lang w:val="en-GB" w:eastAsia="en-GB"/>
        </w:rPr>
        <w:t>f</w:t>
      </w:r>
      <w:r>
        <w:rPr>
          <w:rFonts w:cs="Times New Roman"/>
          <w:lang w:val="en-GB" w:eastAsia="en-GB"/>
        </w:rPr>
        <w:t xml:space="preserve"> </w:t>
      </w:r>
      <w:r w:rsidR="001D5CCE" w:rsidRPr="001D5CCE">
        <w:rPr>
          <w:rFonts w:cs="Times New Roman"/>
          <w:lang w:val="en-GB" w:eastAsia="en-GB"/>
        </w:rPr>
        <w:t>MOE Key Laboratory of Tropical Disease Control, Zhongshan School of Medicine, Sun Yat-sen University Shenzhen Campus, Sun Yat-Sen University, Shenzhen 518107, China</w:t>
      </w:r>
      <w:r>
        <w:rPr>
          <w:rFonts w:cs="Times New Roman"/>
          <w:lang w:val="en-GB" w:eastAsia="en-GB"/>
        </w:rPr>
        <w:t>.</w:t>
      </w:r>
    </w:p>
    <w:p w14:paraId="48D8E1A2" w14:textId="77777777" w:rsidR="00604695" w:rsidRDefault="00604695">
      <w:pPr>
        <w:adjustRightInd w:val="0"/>
        <w:snapToGrid w:val="0"/>
        <w:spacing w:line="360" w:lineRule="auto"/>
        <w:rPr>
          <w:rFonts w:cs="Times New Roman"/>
          <w:lang w:val="en-GB" w:eastAsia="en-GB"/>
        </w:rPr>
      </w:pPr>
    </w:p>
    <w:p w14:paraId="4354DCB7" w14:textId="77777777" w:rsidR="00604695" w:rsidRDefault="00FF1629">
      <w:pPr>
        <w:adjustRightInd w:val="0"/>
        <w:snapToGrid w:val="0"/>
        <w:spacing w:line="360" w:lineRule="auto"/>
        <w:rPr>
          <w:rFonts w:cs="Times New Roman"/>
          <w:lang w:val="en-GB" w:eastAsia="en-GB"/>
        </w:rPr>
      </w:pPr>
      <w:r>
        <w:rPr>
          <w:rFonts w:cs="Times New Roman"/>
          <w:sz w:val="22"/>
          <w:vertAlign w:val="superscript"/>
          <w:lang w:val="en-GB" w:eastAsia="en-GB"/>
        </w:rPr>
        <w:t>1</w:t>
      </w:r>
      <w:r>
        <w:rPr>
          <w:rFonts w:cs="Times New Roman"/>
          <w:lang w:val="en-GB" w:eastAsia="en-GB"/>
        </w:rPr>
        <w:t>Jiacheng Huang, Yujian Yang and Tiefeng Xu contributed equally</w:t>
      </w:r>
      <w:r>
        <w:rPr>
          <w:rFonts w:cs="Times New Roman"/>
          <w:color w:val="000000"/>
          <w:lang w:eastAsia="de-DE" w:bidi="en-US"/>
        </w:rPr>
        <w:t xml:space="preserve"> to this work.</w:t>
      </w:r>
    </w:p>
    <w:p w14:paraId="29A442A8" w14:textId="10F38811" w:rsidR="00604695" w:rsidRDefault="00FF1629">
      <w:pPr>
        <w:adjustRightInd w:val="0"/>
        <w:snapToGrid w:val="0"/>
        <w:spacing w:line="360" w:lineRule="auto"/>
        <w:jc w:val="left"/>
        <w:rPr>
          <w:rFonts w:cs="Times New Roman"/>
          <w:lang w:val="en-GB" w:eastAsia="en-GB"/>
        </w:rPr>
      </w:pPr>
      <w:r>
        <w:rPr>
          <w:rFonts w:cs="Times New Roman"/>
          <w:color w:val="000000"/>
          <w:lang w:eastAsia="de-DE" w:bidi="en-US"/>
        </w:rPr>
        <w:t>*</w:t>
      </w:r>
      <w:r>
        <w:rPr>
          <w:rFonts w:cs="Times New Roman"/>
          <w:lang w:val="en-GB" w:eastAsia="en-GB"/>
        </w:rPr>
        <w:t xml:space="preserve">Correspondence to: guo_deyin@gzlab.ac.cn (D. Guo), yang_sidi@gzlab.ac.cn </w:t>
      </w:r>
      <w:bookmarkStart w:id="5" w:name="OLE_LINK95"/>
      <w:r>
        <w:rPr>
          <w:rFonts w:cs="Times New Roman"/>
          <w:lang w:val="en-GB" w:eastAsia="en-GB"/>
        </w:rPr>
        <w:t>(S. Yang)</w:t>
      </w:r>
      <w:bookmarkEnd w:id="5"/>
      <w:r>
        <w:rPr>
          <w:rFonts w:cs="Times New Roman"/>
          <w:lang w:val="en-GB" w:eastAsia="en-GB"/>
        </w:rPr>
        <w:t xml:space="preserve">, </w:t>
      </w:r>
      <w:r w:rsidR="006D78DB" w:rsidRPr="006D78DB">
        <w:rPr>
          <w:rFonts w:cs="Times New Roman"/>
          <w:lang w:val="en-GB" w:eastAsia="en-GB"/>
        </w:rPr>
        <w:t>zhouqf@sustech.edu.cn</w:t>
      </w:r>
      <w:r w:rsidR="006D78DB">
        <w:rPr>
          <w:rStyle w:val="a9"/>
          <w:rFonts w:cs="Times New Roman"/>
          <w:lang w:val="en-GB" w:eastAsia="en-GB"/>
        </w:rPr>
        <w:t xml:space="preserve"> </w:t>
      </w:r>
      <w:r>
        <w:rPr>
          <w:rFonts w:cs="Times New Roman"/>
          <w:lang w:val="en-GB" w:eastAsia="en-GB"/>
        </w:rPr>
        <w:t>Q. Zhou)</w:t>
      </w:r>
    </w:p>
    <w:p w14:paraId="2E886E13" w14:textId="091FF2F5" w:rsidR="00604695" w:rsidRDefault="00FF1629">
      <w:pPr>
        <w:adjustRightInd w:val="0"/>
        <w:snapToGrid w:val="0"/>
        <w:spacing w:line="360" w:lineRule="auto"/>
      </w:pPr>
      <w:r>
        <w:rPr>
          <w:rFonts w:cs="Times New Roman"/>
        </w:rPr>
        <w:t>ORCID: 0000-0002-8297-0814 (</w:t>
      </w:r>
      <w:r>
        <w:rPr>
          <w:rFonts w:cs="Times New Roman"/>
          <w:lang w:val="en-GB" w:eastAsia="en-GB"/>
        </w:rPr>
        <w:t>D. Guo</w:t>
      </w:r>
      <w:r>
        <w:rPr>
          <w:rFonts w:cs="Times New Roman"/>
        </w:rPr>
        <w:t xml:space="preserve">), </w:t>
      </w:r>
      <w:r>
        <w:rPr>
          <w:rFonts w:cs="Times New Roman"/>
          <w:lang w:val="en-GB"/>
        </w:rPr>
        <w:t xml:space="preserve">0000-0003-0251-0162 </w:t>
      </w:r>
      <w:r>
        <w:rPr>
          <w:rFonts w:cs="Times New Roman"/>
          <w:lang w:val="en-GB" w:eastAsia="en-GB"/>
        </w:rPr>
        <w:t>(S. Yang)</w:t>
      </w:r>
      <w:r>
        <w:rPr>
          <w:rFonts w:eastAsia="宋体" w:cs="Times New Roman" w:hint="eastAsia"/>
        </w:rPr>
        <w:t>,</w:t>
      </w:r>
      <w:r w:rsidR="00DF5841">
        <w:rPr>
          <w:rFonts w:eastAsia="宋体" w:cs="Times New Roman" w:hint="eastAsia"/>
        </w:rPr>
        <w:t xml:space="preserve"> </w:t>
      </w:r>
      <w:r>
        <w:rPr>
          <w:rFonts w:hint="eastAsia"/>
          <w:lang w:val="en-GB" w:eastAsia="en-GB"/>
        </w:rPr>
        <w:t>0000-0002-5738-3511</w:t>
      </w:r>
      <w:r>
        <w:rPr>
          <w:lang w:val="en-GB" w:eastAsia="en-GB"/>
        </w:rPr>
        <w:t>(Q. Zhou)</w:t>
      </w:r>
    </w:p>
    <w:p w14:paraId="2C512D4F" w14:textId="77777777" w:rsidR="00604695" w:rsidRDefault="00604695">
      <w:pPr>
        <w:adjustRightInd w:val="0"/>
        <w:snapToGrid w:val="0"/>
        <w:spacing w:line="360" w:lineRule="auto"/>
        <w:jc w:val="left"/>
        <w:rPr>
          <w:rFonts w:eastAsia="宋体" w:cs="Times New Roman"/>
        </w:rPr>
      </w:pPr>
    </w:p>
    <w:p w14:paraId="0BC622F0" w14:textId="4808B433" w:rsidR="00604695" w:rsidRPr="0065367A" w:rsidRDefault="00604695" w:rsidP="0065367A">
      <w:pPr>
        <w:widowControl/>
        <w:adjustRightInd w:val="0"/>
        <w:snapToGrid w:val="0"/>
        <w:spacing w:line="360" w:lineRule="auto"/>
        <w:jc w:val="center"/>
        <w:rPr>
          <w:rFonts w:eastAsiaTheme="minorEastAsia" w:cs="Times New Roman"/>
          <w:b/>
          <w:bCs/>
          <w:i/>
          <w:iCs/>
          <w:kern w:val="0"/>
          <w:szCs w:val="28"/>
          <w:lang w:val="en-GB"/>
        </w:rPr>
      </w:pPr>
      <w:bookmarkStart w:id="6" w:name="_GoBack"/>
      <w:bookmarkEnd w:id="6"/>
    </w:p>
    <w:p w14:paraId="6F5F9327" w14:textId="77777777" w:rsidR="00604695" w:rsidRDefault="00FF1629">
      <w:pPr>
        <w:pStyle w:val="2"/>
        <w:adjustRightInd w:val="0"/>
        <w:snapToGrid w:val="0"/>
        <w:spacing w:before="0" w:after="0" w:line="360" w:lineRule="auto"/>
        <w:rPr>
          <w:rFonts w:cs="Times New Roman"/>
          <w:iCs/>
          <w:kern w:val="0"/>
          <w:sz w:val="28"/>
          <w:szCs w:val="28"/>
          <w:lang w:val="en-GB" w:eastAsia="en-GB"/>
        </w:rPr>
      </w:pPr>
      <w:r>
        <w:rPr>
          <w:rFonts w:cs="Times New Roman"/>
          <w:iCs/>
          <w:kern w:val="0"/>
          <w:sz w:val="28"/>
          <w:szCs w:val="28"/>
          <w:lang w:val="en-GB" w:eastAsia="en-GB"/>
        </w:rPr>
        <w:lastRenderedPageBreak/>
        <w:t>Materials and Method</w:t>
      </w:r>
      <w:bookmarkEnd w:id="0"/>
      <w:r>
        <w:rPr>
          <w:rFonts w:cs="Times New Roman"/>
          <w:iCs/>
          <w:kern w:val="0"/>
          <w:sz w:val="28"/>
          <w:szCs w:val="28"/>
          <w:lang w:val="en-GB" w:eastAsia="en-GB"/>
        </w:rPr>
        <w:t xml:space="preserve">s </w:t>
      </w:r>
    </w:p>
    <w:p w14:paraId="409D448A" w14:textId="77777777" w:rsidR="00604695" w:rsidRDefault="00FF1629">
      <w:pPr>
        <w:pStyle w:val="3"/>
        <w:adjustRightInd w:val="0"/>
        <w:snapToGrid w:val="0"/>
        <w:spacing w:before="0" w:after="0" w:line="360" w:lineRule="auto"/>
        <w:jc w:val="both"/>
        <w:rPr>
          <w:bCs/>
          <w:i/>
          <w:iCs/>
          <w:color w:val="auto"/>
          <w:kern w:val="0"/>
          <w:szCs w:val="28"/>
          <w:lang w:val="en-GB" w:eastAsia="en-GB"/>
        </w:rPr>
      </w:pPr>
      <w:r>
        <w:rPr>
          <w:bCs/>
          <w:i/>
          <w:iCs/>
          <w:color w:val="auto"/>
          <w:kern w:val="0"/>
          <w:szCs w:val="28"/>
          <w:lang w:val="en-GB" w:eastAsia="en-GB"/>
        </w:rPr>
        <w:t xml:space="preserve">In vitro </w:t>
      </w:r>
      <w:r>
        <w:rPr>
          <w:bCs/>
          <w:iCs/>
          <w:color w:val="auto"/>
          <w:kern w:val="0"/>
          <w:szCs w:val="28"/>
          <w:lang w:val="en-GB" w:eastAsia="en-GB"/>
        </w:rPr>
        <w:t>anti-SARS-CoV-2</w:t>
      </w:r>
      <w:r>
        <w:rPr>
          <w:bCs/>
          <w:i/>
          <w:iCs/>
          <w:color w:val="auto"/>
          <w:kern w:val="0"/>
          <w:szCs w:val="28"/>
          <w:lang w:val="en-GB" w:eastAsia="en-GB"/>
        </w:rPr>
        <w:t xml:space="preserve"> </w:t>
      </w:r>
      <w:r>
        <w:rPr>
          <w:bCs/>
          <w:iCs/>
          <w:color w:val="auto"/>
          <w:kern w:val="0"/>
          <w:szCs w:val="28"/>
          <w:lang w:val="en-GB" w:eastAsia="en-GB"/>
        </w:rPr>
        <w:t>activity assays</w:t>
      </w:r>
    </w:p>
    <w:p w14:paraId="6C5B4842" w14:textId="67AA4C2C" w:rsidR="00604695" w:rsidRDefault="00FF1629">
      <w:pPr>
        <w:pStyle w:val="Authornames"/>
        <w:widowControl/>
        <w:adjustRightInd w:val="0"/>
        <w:snapToGrid w:val="0"/>
        <w:rPr>
          <w:rFonts w:eastAsia="宋体" w:cs="Times New Roman"/>
          <w:sz w:val="24"/>
        </w:rPr>
      </w:pPr>
      <w:r>
        <w:rPr>
          <w:rFonts w:cs="Times New Roman"/>
          <w:kern w:val="0"/>
          <w:sz w:val="24"/>
          <w:szCs w:val="24"/>
          <w:lang w:val="en-GB" w:eastAsia="en-GB"/>
        </w:rPr>
        <w:t>Vero E6 cells</w:t>
      </w:r>
      <w:r w:rsidR="00DF5841">
        <w:rPr>
          <w:rFonts w:eastAsiaTheme="minorEastAsia" w:cs="Times New Roman" w:hint="eastAsia"/>
          <w:kern w:val="0"/>
          <w:sz w:val="24"/>
          <w:szCs w:val="24"/>
          <w:lang w:val="en-GB"/>
        </w:rPr>
        <w:t xml:space="preserve"> (</w:t>
      </w:r>
      <w:r w:rsidR="00DF5841" w:rsidRPr="00DF5841">
        <w:rPr>
          <w:rFonts w:eastAsiaTheme="minorEastAsia" w:cs="Times New Roman"/>
          <w:kern w:val="0"/>
          <w:sz w:val="24"/>
          <w:szCs w:val="24"/>
          <w:lang w:val="en-GB"/>
        </w:rPr>
        <w:t>#CRL-1586</w:t>
      </w:r>
      <w:r w:rsidR="00DF5841">
        <w:rPr>
          <w:rFonts w:eastAsiaTheme="minorEastAsia" w:cs="Times New Roman" w:hint="eastAsia"/>
          <w:kern w:val="0"/>
          <w:sz w:val="24"/>
          <w:szCs w:val="24"/>
          <w:lang w:val="en-GB"/>
        </w:rPr>
        <w:t>)</w:t>
      </w:r>
      <w:r w:rsidR="00DF5841">
        <w:rPr>
          <w:rFonts w:cs="Times New Roman"/>
          <w:kern w:val="0"/>
          <w:sz w:val="24"/>
          <w:szCs w:val="24"/>
          <w:lang w:val="en-GB" w:eastAsia="en-GB"/>
        </w:rPr>
        <w:t xml:space="preserve"> </w:t>
      </w:r>
      <w:r w:rsidR="00DF5841" w:rsidRPr="00DF5841">
        <w:rPr>
          <w:rFonts w:eastAsiaTheme="minorEastAsia" w:cs="Times New Roman"/>
          <w:kern w:val="0"/>
          <w:sz w:val="24"/>
          <w:szCs w:val="24"/>
          <w:lang w:val="en-GB"/>
        </w:rPr>
        <w:t>were obtained from ATCC</w:t>
      </w:r>
      <w:r w:rsidR="00DF5841">
        <w:rPr>
          <w:rFonts w:eastAsiaTheme="minorEastAsia" w:cs="Times New Roman" w:hint="eastAsia"/>
          <w:kern w:val="0"/>
          <w:sz w:val="24"/>
          <w:szCs w:val="24"/>
          <w:lang w:val="en-GB"/>
        </w:rPr>
        <w:t xml:space="preserve">. </w:t>
      </w:r>
      <w:r w:rsidR="00DF5841">
        <w:rPr>
          <w:rFonts w:cs="Times New Roman"/>
          <w:kern w:val="0"/>
          <w:sz w:val="24"/>
          <w:szCs w:val="24"/>
          <w:lang w:val="en-GB" w:eastAsia="en-GB"/>
        </w:rPr>
        <w:t>Vero E6</w:t>
      </w:r>
      <w:r w:rsidR="00DF5841">
        <w:rPr>
          <w:rFonts w:eastAsiaTheme="minorEastAsia" w:cs="Times New Roman" w:hint="eastAsia"/>
          <w:kern w:val="0"/>
          <w:sz w:val="24"/>
          <w:szCs w:val="24"/>
          <w:lang w:val="en-GB"/>
        </w:rPr>
        <w:t xml:space="preserve"> cells </w:t>
      </w:r>
      <w:r>
        <w:rPr>
          <w:rFonts w:cs="Times New Roman"/>
          <w:kern w:val="0"/>
          <w:sz w:val="24"/>
          <w:szCs w:val="24"/>
          <w:lang w:val="en-GB" w:eastAsia="en-GB"/>
        </w:rPr>
        <w:t>were cultured in Dulbecco′s modified Eagle′s medium (DMEM) with 10% fetal bovine serum (FBS) and 1% penicillin-streptomycin antibiotics. The cells were kept at 37 ℃ under 5% CO</w:t>
      </w:r>
      <w:r>
        <w:rPr>
          <w:rFonts w:cs="Times New Roman"/>
          <w:kern w:val="0"/>
          <w:sz w:val="24"/>
          <w:szCs w:val="24"/>
          <w:vertAlign w:val="subscript"/>
          <w:lang w:val="en-GB" w:eastAsia="en-GB"/>
        </w:rPr>
        <w:t>2</w:t>
      </w:r>
      <w:r>
        <w:rPr>
          <w:rFonts w:cs="Times New Roman"/>
          <w:kern w:val="0"/>
          <w:sz w:val="24"/>
          <w:szCs w:val="24"/>
          <w:lang w:val="en-GB" w:eastAsia="en-GB"/>
        </w:rPr>
        <w:t xml:space="preserve"> atmosphere. Vero E6 cells were pre-seeded at 2 × 10</w:t>
      </w:r>
      <w:r>
        <w:rPr>
          <w:rFonts w:cs="Times New Roman"/>
          <w:kern w:val="0"/>
          <w:sz w:val="24"/>
          <w:szCs w:val="24"/>
          <w:vertAlign w:val="superscript"/>
          <w:lang w:val="en-GB" w:eastAsia="en-GB"/>
        </w:rPr>
        <w:t>4</w:t>
      </w:r>
      <w:r>
        <w:rPr>
          <w:rFonts w:cs="Times New Roman"/>
          <w:kern w:val="0"/>
          <w:sz w:val="24"/>
          <w:szCs w:val="24"/>
          <w:lang w:val="en-GB" w:eastAsia="en-GB"/>
        </w:rPr>
        <w:t xml:space="preserve"> cells per well to 96-well plates. Cells were allowed to adhere for 16-24 h and inoculated with SARS-CoV-2 at multiplicity of infection (MOI) of 0.05 for 1 h. The supernatant was removed, and cells were washed with pre-warmed PBS for 2 times, treated with fresh medium containing gradient concentration of compounds (SHEN26, PF07817883 or the combination), or DMSO for 1 h. After 48 h post infection, the supernatants were collected, antiviral activities were evaluated by quantification of viral copies in the cell supernatant via real-time fluorescence quantitative PCR (qRT-PCR). The inhibition rate of compounds was calculated based on the viral copies, and the 50% effective concentration (EC</w:t>
      </w:r>
      <w:r>
        <w:rPr>
          <w:rFonts w:cs="Times New Roman"/>
          <w:kern w:val="0"/>
          <w:sz w:val="24"/>
          <w:szCs w:val="24"/>
          <w:vertAlign w:val="subscript"/>
          <w:lang w:val="en-GB" w:eastAsia="en-GB"/>
        </w:rPr>
        <w:t>50</w:t>
      </w:r>
      <w:r>
        <w:rPr>
          <w:rFonts w:cs="Times New Roman"/>
          <w:kern w:val="0"/>
          <w:sz w:val="24"/>
          <w:szCs w:val="24"/>
          <w:lang w:val="en-GB" w:eastAsia="en-GB"/>
        </w:rPr>
        <w:t xml:space="preserve">) and dose-response matrix was calculated using Graphpad Prism 8.0 software. Synergy analysis was conducted using the SynergyFinder+ web (https://synergyfinder.org) application based on Bliss independence and ZIP models </w:t>
      </w:r>
      <w:r>
        <w:rPr>
          <w:rFonts w:cs="Times New Roman"/>
          <w:sz w:val="24"/>
        </w:rPr>
        <w:t>(Yadav et al., 2015; Zheng et al., 2022)</w:t>
      </w:r>
      <w:r>
        <w:rPr>
          <w:rFonts w:eastAsiaTheme="minorEastAsia" w:cs="Times New Roman"/>
          <w:kern w:val="0"/>
          <w:sz w:val="24"/>
          <w:szCs w:val="24"/>
          <w:lang w:val="en-GB"/>
        </w:rPr>
        <w:t>.</w:t>
      </w:r>
      <w:r>
        <w:rPr>
          <w:rFonts w:cs="Times New Roman"/>
          <w:kern w:val="0"/>
          <w:sz w:val="24"/>
          <w:szCs w:val="24"/>
          <w:lang w:val="en-GB" w:eastAsia="en-GB"/>
        </w:rPr>
        <w:t xml:space="preserve"> The test results were at least repeated three times.</w:t>
      </w:r>
    </w:p>
    <w:p w14:paraId="04EFFBEC" w14:textId="77777777" w:rsidR="00604695" w:rsidRDefault="00604695">
      <w:pPr>
        <w:adjustRightInd w:val="0"/>
        <w:snapToGrid w:val="0"/>
        <w:spacing w:line="360" w:lineRule="auto"/>
        <w:rPr>
          <w:rFonts w:eastAsiaTheme="minorEastAsia" w:cs="Times New Roman"/>
          <w:kern w:val="0"/>
          <w:szCs w:val="24"/>
        </w:rPr>
      </w:pPr>
    </w:p>
    <w:p w14:paraId="05A04E9A" w14:textId="77777777" w:rsidR="00604695" w:rsidRDefault="00FF1629">
      <w:pPr>
        <w:pStyle w:val="3"/>
        <w:adjustRightInd w:val="0"/>
        <w:snapToGrid w:val="0"/>
        <w:spacing w:before="0" w:after="0" w:line="360" w:lineRule="auto"/>
        <w:jc w:val="both"/>
        <w:rPr>
          <w:bCs/>
          <w:i/>
          <w:iCs/>
          <w:color w:val="auto"/>
          <w:kern w:val="0"/>
          <w:szCs w:val="28"/>
          <w:lang w:val="en-GB" w:eastAsia="en-GB"/>
        </w:rPr>
      </w:pPr>
      <w:r>
        <w:rPr>
          <w:bCs/>
          <w:i/>
          <w:iCs/>
          <w:color w:val="auto"/>
          <w:kern w:val="0"/>
          <w:szCs w:val="28"/>
          <w:lang w:val="en-GB" w:eastAsia="en-GB"/>
        </w:rPr>
        <w:t xml:space="preserve">In vivo </w:t>
      </w:r>
      <w:r>
        <w:rPr>
          <w:bCs/>
          <w:iCs/>
          <w:color w:val="auto"/>
          <w:kern w:val="0"/>
          <w:szCs w:val="28"/>
          <w:lang w:val="en-GB" w:eastAsia="en-GB"/>
        </w:rPr>
        <w:t>anti-SARS-Cov-2 activity in the K18-hACE2 mouse model</w:t>
      </w:r>
    </w:p>
    <w:p w14:paraId="71F41075" w14:textId="77777777" w:rsidR="00604695" w:rsidRDefault="00FF1629">
      <w:pPr>
        <w:pStyle w:val="Authornames"/>
        <w:widowControl/>
        <w:adjustRightInd w:val="0"/>
        <w:snapToGrid w:val="0"/>
        <w:rPr>
          <w:rFonts w:cs="Times New Roman"/>
          <w:kern w:val="0"/>
          <w:sz w:val="24"/>
          <w:szCs w:val="24"/>
          <w:lang w:val="en-GB" w:eastAsia="en-GB"/>
        </w:rPr>
      </w:pPr>
      <w:r>
        <w:rPr>
          <w:rFonts w:cs="Times New Roman"/>
          <w:kern w:val="0"/>
          <w:sz w:val="24"/>
          <w:szCs w:val="24"/>
          <w:lang w:val="en-GB" w:eastAsia="en-GB"/>
        </w:rPr>
        <w:t>The mouse infection experiments of SARS-CoV-2 were performed at the ABSL-3 Laboratory of Guangzhou Laboratory. The C57BL/6 [B6.Cg-Tg (K18-ACE2)2Prlmn/J] mice were divided into four groups (n = 6 for each group), the vehicle group, the group receiving SHEN26 100 mg/kg orally, the group receiving PF07817883 200mg/kg orally and the group receiving SHEN26 100mg/kg and PF07817883 200mg/kg orally. K18-hACE2 mice were anesthetized by inhalation of isoflurane and were intranasally inoculated with SARS-CoV-2 EG.5 variant (1 × 10</w:t>
      </w:r>
      <w:r>
        <w:rPr>
          <w:rFonts w:cs="Times New Roman"/>
          <w:kern w:val="0"/>
          <w:sz w:val="24"/>
          <w:szCs w:val="24"/>
          <w:vertAlign w:val="superscript"/>
          <w:lang w:val="en-GB" w:eastAsia="en-GB"/>
        </w:rPr>
        <w:t>5</w:t>
      </w:r>
      <w:r>
        <w:rPr>
          <w:rFonts w:eastAsia="宋体" w:cs="Times New Roman"/>
          <w:kern w:val="0"/>
          <w:sz w:val="24"/>
          <w:szCs w:val="24"/>
          <w:vertAlign w:val="superscript"/>
        </w:rPr>
        <w:t xml:space="preserve"> </w:t>
      </w:r>
      <w:r>
        <w:rPr>
          <w:rFonts w:eastAsia="宋体" w:cs="Times New Roman"/>
          <w:kern w:val="0"/>
          <w:sz w:val="24"/>
          <w:szCs w:val="24"/>
        </w:rPr>
        <w:t>TCID</w:t>
      </w:r>
      <w:r>
        <w:rPr>
          <w:rFonts w:eastAsia="宋体" w:cs="Times New Roman"/>
          <w:kern w:val="0"/>
          <w:sz w:val="24"/>
          <w:szCs w:val="24"/>
          <w:vertAlign w:val="subscript"/>
        </w:rPr>
        <w:t>50</w:t>
      </w:r>
      <w:r>
        <w:rPr>
          <w:rFonts w:cs="Times New Roman"/>
          <w:kern w:val="0"/>
          <w:sz w:val="24"/>
          <w:szCs w:val="24"/>
          <w:lang w:val="en-GB" w:eastAsia="en-GB"/>
        </w:rPr>
        <w:t xml:space="preserve"> virus per mouse). Meanwhile, mice were treated with vehicle (20% PG+5% solutol</w:t>
      </w:r>
      <w:r>
        <w:rPr>
          <w:rFonts w:cs="Times New Roman"/>
          <w:kern w:val="0"/>
          <w:sz w:val="24"/>
          <w:szCs w:val="24"/>
        </w:rPr>
        <w:t xml:space="preserve"> </w:t>
      </w:r>
      <w:r>
        <w:rPr>
          <w:rFonts w:cs="Times New Roman"/>
          <w:kern w:val="0"/>
          <w:sz w:val="24"/>
          <w:szCs w:val="24"/>
          <w:lang w:val="en-GB" w:eastAsia="en-GB"/>
        </w:rPr>
        <w:t>+75% ddH</w:t>
      </w:r>
      <w:r>
        <w:rPr>
          <w:rFonts w:cs="Times New Roman"/>
          <w:kern w:val="0"/>
          <w:sz w:val="24"/>
          <w:szCs w:val="24"/>
          <w:vertAlign w:val="subscript"/>
          <w:lang w:val="en-GB" w:eastAsia="en-GB"/>
        </w:rPr>
        <w:t>2</w:t>
      </w:r>
      <w:r>
        <w:rPr>
          <w:rFonts w:cs="Times New Roman"/>
          <w:kern w:val="0"/>
          <w:sz w:val="24"/>
          <w:szCs w:val="24"/>
          <w:lang w:val="en-GB" w:eastAsia="en-GB"/>
        </w:rPr>
        <w:t xml:space="preserve">O), SHEN26, PF07817883 or the combination according to group description as described above. </w:t>
      </w:r>
      <w:r>
        <w:rPr>
          <w:rFonts w:cs="Times New Roman" w:hint="eastAsia"/>
          <w:kern w:val="0"/>
          <w:sz w:val="24"/>
          <w:szCs w:val="24"/>
          <w:lang w:val="en-GB" w:eastAsia="en-GB"/>
        </w:rPr>
        <w:t xml:space="preserve">The </w:t>
      </w:r>
      <w:r w:rsidRPr="00ED4475">
        <w:rPr>
          <w:rFonts w:cs="Times New Roman" w:hint="eastAsia"/>
          <w:i/>
          <w:kern w:val="0"/>
          <w:sz w:val="24"/>
          <w:szCs w:val="24"/>
          <w:lang w:val="en-GB" w:eastAsia="en-GB"/>
        </w:rPr>
        <w:t xml:space="preserve">in vivo </w:t>
      </w:r>
      <w:r>
        <w:rPr>
          <w:rFonts w:cs="Times New Roman" w:hint="eastAsia"/>
          <w:kern w:val="0"/>
          <w:sz w:val="24"/>
          <w:szCs w:val="24"/>
          <w:lang w:val="en-GB" w:eastAsia="en-GB"/>
        </w:rPr>
        <w:t>doses of SHEN26 (100 mg/kg, oral, once daily) and PF-07321332 (200 mg/kg, oral, once daily) were not arbitrary; they were selected based on (i) published preclinical PK/PD benchmarks for each compound, (ii) the dose–response relationship established in the K18-hACE2 / hACE2 mouse model, and (iii) the specific aim of the combination study to test sub-maximal (non-saturating) single-agent doses so that a synergistic effect could be objectively demonstrated rather than masked by ceiling effects.</w:t>
      </w:r>
      <w:r>
        <w:rPr>
          <w:rFonts w:eastAsia="宋体" w:cs="Times New Roman" w:hint="eastAsia"/>
          <w:kern w:val="0"/>
          <w:sz w:val="24"/>
          <w:szCs w:val="24"/>
        </w:rPr>
        <w:t xml:space="preserve"> </w:t>
      </w:r>
      <w:r>
        <w:rPr>
          <w:rFonts w:cs="Times New Roman"/>
          <w:kern w:val="0"/>
          <w:sz w:val="24"/>
          <w:szCs w:val="24"/>
          <w:lang w:val="en-GB" w:eastAsia="en-GB"/>
        </w:rPr>
        <w:t xml:space="preserve">Mice were observed for clinical signs daily from day 0 to day 3. At day 3, mice were sacrificed. The lung tissues </w:t>
      </w:r>
      <w:r>
        <w:rPr>
          <w:rFonts w:cs="Times New Roman"/>
          <w:kern w:val="0"/>
          <w:sz w:val="24"/>
          <w:szCs w:val="24"/>
          <w:lang w:val="en-GB" w:eastAsia="en-GB"/>
        </w:rPr>
        <w:lastRenderedPageBreak/>
        <w:t>from euthanized mice were homogenized with DPBS, and the homogenized tissues were centrifuged at 3000 rpm for 10 min at 4 °C. The RNA was extracted from the supernatant for the qRT-PCR testing. Data are presented as mean ± SEM</w:t>
      </w:r>
      <w:r>
        <w:rPr>
          <w:rFonts w:cs="Times New Roman"/>
          <w:kern w:val="0"/>
          <w:sz w:val="24"/>
          <w:szCs w:val="24"/>
          <w:lang w:val="en-GB"/>
        </w:rPr>
        <w:t xml:space="preserve"> </w:t>
      </w:r>
      <w:r>
        <w:rPr>
          <w:rFonts w:cs="Times New Roman"/>
          <w:kern w:val="0"/>
          <w:sz w:val="24"/>
          <w:szCs w:val="24"/>
          <w:lang w:val="en-GB" w:eastAsia="en-GB"/>
        </w:rPr>
        <w:t>(</w:t>
      </w:r>
      <w:r>
        <w:rPr>
          <w:rFonts w:cs="Times New Roman"/>
          <w:kern w:val="0"/>
          <w:sz w:val="24"/>
          <w:szCs w:val="24"/>
        </w:rPr>
        <w:t>n</w:t>
      </w:r>
      <w:r>
        <w:rPr>
          <w:rFonts w:eastAsia="宋体" w:cs="Times New Roman"/>
          <w:kern w:val="0"/>
          <w:sz w:val="24"/>
          <w:szCs w:val="24"/>
        </w:rPr>
        <w:t xml:space="preserve"> </w:t>
      </w:r>
      <w:r>
        <w:rPr>
          <w:rFonts w:cs="Times New Roman"/>
          <w:kern w:val="0"/>
          <w:sz w:val="24"/>
          <w:szCs w:val="24"/>
        </w:rPr>
        <w:t>=</w:t>
      </w:r>
      <w:r>
        <w:rPr>
          <w:rFonts w:eastAsia="宋体" w:cs="Times New Roman"/>
          <w:kern w:val="0"/>
          <w:sz w:val="24"/>
          <w:szCs w:val="24"/>
        </w:rPr>
        <w:t xml:space="preserve"> </w:t>
      </w:r>
      <w:r>
        <w:rPr>
          <w:rFonts w:cs="Times New Roman"/>
          <w:kern w:val="0"/>
          <w:sz w:val="24"/>
          <w:szCs w:val="24"/>
        </w:rPr>
        <w:t>6</w:t>
      </w:r>
      <w:r>
        <w:rPr>
          <w:rFonts w:eastAsia="宋体" w:cs="Times New Roman"/>
          <w:kern w:val="0"/>
          <w:sz w:val="24"/>
          <w:szCs w:val="24"/>
        </w:rPr>
        <w:t xml:space="preserve"> </w:t>
      </w:r>
      <w:r>
        <w:rPr>
          <w:rFonts w:cs="Times New Roman"/>
          <w:kern w:val="0"/>
          <w:sz w:val="24"/>
          <w:szCs w:val="24"/>
          <w:lang w:val="en-GB" w:eastAsia="en-GB"/>
        </w:rPr>
        <w:t xml:space="preserve">for each group). Statistical significance was determined by one-way ANOVA with Tukey’s multiple comparisons test. </w:t>
      </w:r>
    </w:p>
    <w:p w14:paraId="3B284048" w14:textId="77777777" w:rsidR="00604695" w:rsidRDefault="00604695">
      <w:pPr>
        <w:adjustRightInd w:val="0"/>
        <w:snapToGrid w:val="0"/>
        <w:spacing w:line="360" w:lineRule="auto"/>
        <w:rPr>
          <w:rFonts w:eastAsiaTheme="minorEastAsia" w:cs="Times New Roman"/>
          <w:szCs w:val="24"/>
        </w:rPr>
      </w:pPr>
    </w:p>
    <w:p w14:paraId="1236D3AA" w14:textId="77777777" w:rsidR="00604695" w:rsidRDefault="00FF1629">
      <w:pPr>
        <w:adjustRightInd w:val="0"/>
        <w:snapToGrid w:val="0"/>
        <w:spacing w:line="360" w:lineRule="auto"/>
        <w:rPr>
          <w:rFonts w:cs="Times New Roman"/>
          <w:b/>
          <w:bCs/>
          <w:iCs/>
          <w:kern w:val="0"/>
          <w:szCs w:val="28"/>
          <w:lang w:val="en-GB" w:eastAsia="en-GB"/>
        </w:rPr>
      </w:pPr>
      <w:r>
        <w:rPr>
          <w:rFonts w:cs="Times New Roman"/>
          <w:b/>
          <w:bCs/>
          <w:iCs/>
          <w:kern w:val="0"/>
          <w:szCs w:val="28"/>
          <w:lang w:val="en-GB" w:eastAsia="en-GB"/>
        </w:rPr>
        <w:t>qRT</w:t>
      </w:r>
      <w:r>
        <w:rPr>
          <w:rFonts w:cs="Times New Roman"/>
          <w:bCs/>
          <w:iCs/>
          <w:kern w:val="0"/>
          <w:szCs w:val="28"/>
          <w:lang w:val="en-GB" w:eastAsia="en-GB"/>
        </w:rPr>
        <w:t>-</w:t>
      </w:r>
      <w:r>
        <w:rPr>
          <w:rFonts w:cs="Times New Roman"/>
          <w:b/>
          <w:bCs/>
          <w:iCs/>
          <w:kern w:val="0"/>
          <w:szCs w:val="28"/>
          <w:lang w:val="en-GB" w:eastAsia="en-GB"/>
        </w:rPr>
        <w:t>PCR assay</w:t>
      </w:r>
    </w:p>
    <w:p w14:paraId="5C62DB80" w14:textId="77777777" w:rsidR="00604695" w:rsidRDefault="00FF1629">
      <w:pPr>
        <w:pStyle w:val="Authornames"/>
        <w:widowControl/>
        <w:adjustRightInd w:val="0"/>
        <w:snapToGrid w:val="0"/>
        <w:jc w:val="left"/>
        <w:rPr>
          <w:rFonts w:cs="Times New Roman"/>
          <w:kern w:val="0"/>
          <w:sz w:val="24"/>
          <w:szCs w:val="24"/>
          <w:lang w:val="en-GB" w:eastAsia="en-GB"/>
        </w:rPr>
      </w:pPr>
      <w:r>
        <w:rPr>
          <w:rFonts w:cs="Times New Roman"/>
          <w:kern w:val="0"/>
          <w:sz w:val="24"/>
          <w:szCs w:val="24"/>
          <w:lang w:val="en-GB" w:eastAsia="en-GB"/>
        </w:rPr>
        <w:t xml:space="preserve">For SARS-CoV-2 RNA quantification, total RNA was extracted from cell culture supernatant (or tissues) using Trizol (Invitrogen) with Magbead Viral DNA/RNA Kit (CWBIO) according to the manufacturer′s instructions. Virus was detected by using SARS-CoV-2 nucleic acid detection kit (Da′an Company, Guangzhou, China). For detection of viral genomes, the following primers were used to amplify the genomic RNA for the nucleocapsid protein: 2019-nCoV_N1-F: 5′-AAGAAATTCAACTCCAGGCAGC-3′; 2019-nCoV_N1-R: 5′-GCTGGTTCAATCTGTCAAGCAG -3′; Prb: 5′-TCACCGCCATTGCCAGCCA-3′. The following primers were used to amplify the subgenomic RNA for the N protein: F: 5′- CCAGGTAACAAACCAACCAA-3′; R: 5′-TGAGTGAGAGCGGTGAACCAA-3′. </w:t>
      </w:r>
    </w:p>
    <w:p w14:paraId="578BA6EC" w14:textId="77777777" w:rsidR="00604695" w:rsidRDefault="00604695">
      <w:pPr>
        <w:adjustRightInd w:val="0"/>
        <w:snapToGrid w:val="0"/>
        <w:spacing w:line="360" w:lineRule="auto"/>
        <w:rPr>
          <w:rFonts w:cs="Times New Roman"/>
          <w:lang w:val="en-GB" w:eastAsia="en-GB"/>
        </w:rPr>
      </w:pPr>
    </w:p>
    <w:p w14:paraId="238F9B61" w14:textId="77777777" w:rsidR="00604695" w:rsidRDefault="00604695">
      <w:pPr>
        <w:widowControl/>
        <w:rPr>
          <w:rFonts w:eastAsiaTheme="minorEastAsia" w:cs="Times New Roman"/>
          <w:kern w:val="0"/>
          <w:szCs w:val="24"/>
        </w:rPr>
      </w:pPr>
    </w:p>
    <w:p w14:paraId="318ACAA3" w14:textId="77777777" w:rsidR="00604695" w:rsidRDefault="00604695">
      <w:pPr>
        <w:widowControl/>
        <w:adjustRightInd w:val="0"/>
        <w:snapToGrid w:val="0"/>
        <w:spacing w:line="360" w:lineRule="auto"/>
        <w:rPr>
          <w:rFonts w:eastAsia="宋体" w:cs="Times New Roman"/>
          <w:b/>
          <w:kern w:val="0"/>
          <w:sz w:val="28"/>
          <w:szCs w:val="28"/>
          <w:lang w:val="pt-BR"/>
        </w:rPr>
      </w:pPr>
    </w:p>
    <w:p w14:paraId="362BAA30" w14:textId="77777777" w:rsidR="00604695" w:rsidRDefault="00604695">
      <w:pPr>
        <w:widowControl/>
        <w:adjustRightInd w:val="0"/>
        <w:snapToGrid w:val="0"/>
        <w:spacing w:line="360" w:lineRule="auto"/>
        <w:rPr>
          <w:rFonts w:eastAsia="宋体" w:cs="Times New Roman"/>
          <w:b/>
          <w:kern w:val="0"/>
          <w:sz w:val="28"/>
          <w:szCs w:val="28"/>
          <w:lang w:val="pt-BR"/>
        </w:rPr>
        <w:sectPr w:rsidR="00604695">
          <w:pgSz w:w="11906" w:h="16838"/>
          <w:pgMar w:top="1440" w:right="1080" w:bottom="1440" w:left="1080" w:header="851" w:footer="992" w:gutter="0"/>
          <w:lnNumType w:countBy="1" w:restart="continuous"/>
          <w:cols w:space="425"/>
          <w:docGrid w:type="lines" w:linePitch="326"/>
        </w:sectPr>
      </w:pPr>
    </w:p>
    <w:p w14:paraId="33F35117" w14:textId="77777777" w:rsidR="00604695" w:rsidRDefault="00FF1629">
      <w:pPr>
        <w:widowControl/>
        <w:adjustRightInd w:val="0"/>
        <w:snapToGrid w:val="0"/>
        <w:spacing w:line="360" w:lineRule="auto"/>
        <w:rPr>
          <w:rFonts w:eastAsia="宋体" w:cs="Times New Roman"/>
          <w:b/>
          <w:kern w:val="0"/>
          <w:sz w:val="28"/>
          <w:szCs w:val="28"/>
          <w:lang w:val="pt-BR"/>
        </w:rPr>
      </w:pPr>
      <w:r>
        <w:rPr>
          <w:rFonts w:eastAsia="宋体" w:cs="Times New Roman"/>
          <w:b/>
          <w:kern w:val="0"/>
          <w:sz w:val="28"/>
          <w:szCs w:val="28"/>
          <w:lang w:val="pt-BR"/>
        </w:rPr>
        <w:lastRenderedPageBreak/>
        <w:t>Supplementay Figure</w:t>
      </w:r>
    </w:p>
    <w:p w14:paraId="100B01F9" w14:textId="020483DC" w:rsidR="00604695" w:rsidRDefault="00EF423D" w:rsidP="0065367A">
      <w:pPr>
        <w:widowControl/>
        <w:adjustRightInd w:val="0"/>
        <w:snapToGrid w:val="0"/>
        <w:spacing w:line="360" w:lineRule="auto"/>
        <w:jc w:val="center"/>
        <w:rPr>
          <w:rFonts w:eastAsia="宋体" w:cs="Times New Roman"/>
          <w:b/>
          <w:kern w:val="0"/>
          <w:sz w:val="28"/>
          <w:szCs w:val="28"/>
          <w:lang w:val="pt-BR"/>
        </w:rPr>
      </w:pPr>
      <w:r w:rsidRPr="0065367A">
        <w:rPr>
          <w:rFonts w:eastAsia="宋体" w:cs="Times New Roman"/>
          <w:b/>
          <w:noProof/>
          <w:kern w:val="0"/>
          <w:sz w:val="28"/>
          <w:szCs w:val="28"/>
        </w:rPr>
        <w:drawing>
          <wp:inline distT="0" distB="0" distL="0" distR="0" wp14:anchorId="41B4FD9F" wp14:editId="1EF4B07E">
            <wp:extent cx="5600700" cy="7924800"/>
            <wp:effectExtent l="0" t="0" r="0" b="0"/>
            <wp:docPr id="7931242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00700" cy="7924800"/>
                    </a:xfrm>
                    <a:prstGeom prst="rect">
                      <a:avLst/>
                    </a:prstGeom>
                    <a:noFill/>
                    <a:ln>
                      <a:noFill/>
                    </a:ln>
                  </pic:spPr>
                </pic:pic>
              </a:graphicData>
            </a:graphic>
          </wp:inline>
        </w:drawing>
      </w:r>
    </w:p>
    <w:p w14:paraId="7A67FF21" w14:textId="77777777" w:rsidR="00604695" w:rsidRDefault="00FF1629">
      <w:pPr>
        <w:adjustRightInd w:val="0"/>
        <w:snapToGrid w:val="0"/>
        <w:spacing w:line="360" w:lineRule="auto"/>
        <w:rPr>
          <w:rFonts w:eastAsiaTheme="minorEastAsia" w:cs="Times New Roman"/>
          <w:lang w:val="en-GB"/>
        </w:rPr>
      </w:pPr>
      <w:r>
        <w:rPr>
          <w:rFonts w:eastAsia="Noto Sans SC" w:cs="Times New Roman"/>
          <w:b/>
          <w:color w:val="000000"/>
        </w:rPr>
        <w:t xml:space="preserve">Supplementary Fig. S1. </w:t>
      </w:r>
      <w:r>
        <w:rPr>
          <w:rFonts w:cs="Times New Roman"/>
          <w:b/>
          <w:lang w:val="en-GB" w:eastAsia="en-GB"/>
        </w:rPr>
        <w:t>A–B</w:t>
      </w:r>
      <w:r>
        <w:rPr>
          <w:rFonts w:cs="Times New Roman"/>
          <w:lang w:val="en-GB" w:eastAsia="en-GB"/>
        </w:rPr>
        <w:t xml:space="preserve"> Synergy analysis of SHEN26 and PF07817883 using the </w:t>
      </w:r>
      <w:r>
        <w:rPr>
          <w:rFonts w:eastAsia="宋体" w:cs="Times New Roman"/>
        </w:rPr>
        <w:t>Bliss</w:t>
      </w:r>
      <w:r>
        <w:rPr>
          <w:rFonts w:cs="Times New Roman"/>
          <w:lang w:val="en-GB" w:eastAsia="en-GB"/>
        </w:rPr>
        <w:t xml:space="preserve"> model</w:t>
      </w:r>
      <w:r>
        <w:rPr>
          <w:rFonts w:eastAsia="宋体" w:cs="Times New Roman"/>
        </w:rPr>
        <w:t xml:space="preserve"> (</w:t>
      </w:r>
      <w:r>
        <w:rPr>
          <w:rFonts w:eastAsia="宋体" w:cs="Times New Roman"/>
          <w:b/>
        </w:rPr>
        <w:t>A</w:t>
      </w:r>
      <w:r>
        <w:rPr>
          <w:rFonts w:eastAsia="宋体" w:cs="Times New Roman"/>
        </w:rPr>
        <w:t>) and HSA model (</w:t>
      </w:r>
      <w:r>
        <w:rPr>
          <w:rFonts w:eastAsia="宋体" w:cs="Times New Roman"/>
          <w:b/>
        </w:rPr>
        <w:t>B</w:t>
      </w:r>
      <w:r>
        <w:rPr>
          <w:rFonts w:eastAsia="宋体" w:cs="Times New Roman"/>
        </w:rPr>
        <w:t>)</w:t>
      </w:r>
      <w:r>
        <w:rPr>
          <w:rFonts w:cs="Times New Roman"/>
          <w:lang w:val="en-GB" w:eastAsia="en-GB"/>
        </w:rPr>
        <w:t xml:space="preserve">. Synergy scores were calculated based on the dose-response matrix and </w:t>
      </w:r>
      <w:r>
        <w:rPr>
          <w:rFonts w:cs="Times New Roman"/>
          <w:lang w:val="en-GB" w:eastAsia="en-GB"/>
        </w:rPr>
        <w:lastRenderedPageBreak/>
        <w:t xml:space="preserve">visualized as a heatmap, with positive scores indicating synergistic effects (Red) </w:t>
      </w:r>
      <w:r>
        <w:rPr>
          <w:rFonts w:cs="Times New Roman"/>
          <w:b/>
          <w:lang w:val="en-GB" w:eastAsia="en-GB"/>
        </w:rPr>
        <w:t xml:space="preserve">C </w:t>
      </w:r>
      <w:r>
        <w:rPr>
          <w:rFonts w:cs="Times New Roman"/>
          <w:lang w:val="en-GB" w:eastAsia="en-GB"/>
        </w:rPr>
        <w:t>Dose-dependent cytotoxicity analysis of SHEN26 and PF07817883</w:t>
      </w:r>
      <w:r>
        <w:rPr>
          <w:rFonts w:eastAsia="宋体" w:cs="Times New Roman"/>
        </w:rPr>
        <w:t xml:space="preserve"> </w:t>
      </w:r>
      <w:r>
        <w:rPr>
          <w:rFonts w:cs="Times New Roman"/>
          <w:lang w:val="en-GB" w:eastAsia="en-GB"/>
        </w:rPr>
        <w:t>alone or in combination in Vero E6 cells. The left shows the cytotoxicity curve of the SHEN26 and PF07817883 combination, while the middle and right panels show the cytotoxicity curves of SHEN26 and PF07817883 respectively. CC</w:t>
      </w:r>
      <w:r>
        <w:rPr>
          <w:rFonts w:cs="Times New Roman"/>
          <w:vertAlign w:val="subscript"/>
          <w:lang w:val="en-GB" w:eastAsia="en-GB"/>
        </w:rPr>
        <w:t>50</w:t>
      </w:r>
      <w:r>
        <w:rPr>
          <w:rFonts w:cs="Times New Roman"/>
          <w:lang w:val="en-GB" w:eastAsia="en-GB"/>
        </w:rPr>
        <w:t xml:space="preserve"> values were calculated based on cell viability assays.</w:t>
      </w:r>
      <w:r>
        <w:rPr>
          <w:rFonts w:cs="Times New Roman"/>
          <w:b/>
          <w:lang w:val="en-GB" w:eastAsia="en-GB"/>
        </w:rPr>
        <w:t xml:space="preserve"> D</w:t>
      </w:r>
      <w:r>
        <w:rPr>
          <w:rFonts w:eastAsiaTheme="minorEastAsia" w:cs="Times New Roman"/>
          <w:b/>
          <w:lang w:val="en-GB"/>
        </w:rPr>
        <w:t xml:space="preserve"> </w:t>
      </w:r>
      <w:r>
        <w:rPr>
          <w:rFonts w:cs="Times New Roman"/>
          <w:lang w:val="en-GB" w:eastAsia="en-GB"/>
        </w:rPr>
        <w:t xml:space="preserve">Dose-response matrix of SHEN26 in combination with PF07817883. Cells were treated with a concentration matrix of the two compounds and infected with SARS-CoV-2 </w:t>
      </w:r>
      <w:r>
        <w:rPr>
          <w:rFonts w:eastAsia="宋体" w:cs="Times New Roman"/>
        </w:rPr>
        <w:t>WT</w:t>
      </w:r>
      <w:r>
        <w:rPr>
          <w:rFonts w:cs="Times New Roman"/>
          <w:lang w:val="en-GB" w:eastAsia="en-GB"/>
        </w:rPr>
        <w:t xml:space="preserve">. Antiviral activity was normalized to the vehicle-treated control and visualized as a heatmap </w:t>
      </w:r>
      <w:r>
        <w:rPr>
          <w:rFonts w:eastAsia="宋体" w:cs="Times New Roman"/>
        </w:rPr>
        <w:t>(</w:t>
      </w:r>
      <w:r>
        <w:rPr>
          <w:rFonts w:eastAsia="宋体" w:cs="Times New Roman"/>
          <w:b/>
        </w:rPr>
        <w:t>D</w:t>
      </w:r>
      <w:r>
        <w:rPr>
          <w:rFonts w:eastAsia="宋体" w:cs="Times New Roman"/>
        </w:rPr>
        <w:t>)</w:t>
      </w:r>
      <w:r>
        <w:rPr>
          <w:rFonts w:cs="Times New Roman"/>
          <w:lang w:val="en-GB" w:eastAsia="en-GB"/>
        </w:rPr>
        <w:t xml:space="preserve">. </w:t>
      </w:r>
      <w:r>
        <w:rPr>
          <w:rFonts w:eastAsia="宋体" w:cs="Times New Roman"/>
          <w:b/>
        </w:rPr>
        <w:t>E</w:t>
      </w:r>
      <w:bookmarkStart w:id="7" w:name="OLE_LINK104"/>
      <w:r>
        <w:rPr>
          <w:rFonts w:cs="Times New Roman"/>
          <w:b/>
          <w:lang w:val="en-GB" w:eastAsia="en-GB"/>
        </w:rPr>
        <w:t>–</w:t>
      </w:r>
      <w:bookmarkEnd w:id="7"/>
      <w:r>
        <w:rPr>
          <w:rFonts w:eastAsia="宋体" w:cs="Times New Roman"/>
          <w:b/>
        </w:rPr>
        <w:t>G</w:t>
      </w:r>
      <w:r>
        <w:rPr>
          <w:rFonts w:cs="Times New Roman"/>
          <w:b/>
          <w:lang w:val="en-GB" w:eastAsia="en-GB"/>
        </w:rPr>
        <w:t xml:space="preserve"> </w:t>
      </w:r>
      <w:r>
        <w:rPr>
          <w:rFonts w:cs="Times New Roman"/>
          <w:lang w:val="en-GB" w:eastAsia="en-GB"/>
        </w:rPr>
        <w:t xml:space="preserve">Synergy analysis of SHEN26 and PF07817883 using the ZIP model </w:t>
      </w:r>
      <w:r>
        <w:rPr>
          <w:rFonts w:eastAsia="宋体" w:cs="Times New Roman"/>
        </w:rPr>
        <w:t>(</w:t>
      </w:r>
      <w:r>
        <w:rPr>
          <w:rFonts w:eastAsia="宋体" w:cs="Times New Roman"/>
          <w:b/>
        </w:rPr>
        <w:t>E</w:t>
      </w:r>
      <w:r>
        <w:rPr>
          <w:rFonts w:eastAsia="宋体" w:cs="Times New Roman"/>
        </w:rPr>
        <w:t>), Bliss model (</w:t>
      </w:r>
      <w:r>
        <w:rPr>
          <w:rFonts w:eastAsia="宋体" w:cs="Times New Roman"/>
          <w:b/>
        </w:rPr>
        <w:t>F</w:t>
      </w:r>
      <w:r>
        <w:rPr>
          <w:rFonts w:eastAsia="宋体" w:cs="Times New Roman"/>
        </w:rPr>
        <w:t>) and HSA model (</w:t>
      </w:r>
      <w:r>
        <w:rPr>
          <w:rFonts w:eastAsia="宋体" w:cs="Times New Roman"/>
          <w:b/>
        </w:rPr>
        <w:t>G</w:t>
      </w:r>
      <w:r>
        <w:rPr>
          <w:rFonts w:eastAsia="宋体" w:cs="Times New Roman"/>
        </w:rPr>
        <w:t xml:space="preserve">). </w:t>
      </w:r>
      <w:r>
        <w:rPr>
          <w:rFonts w:cs="Times New Roman"/>
          <w:lang w:val="en-GB" w:eastAsia="en-GB"/>
        </w:rPr>
        <w:t>Synergy scores were calculated based on the dose</w:t>
      </w:r>
      <w:r>
        <w:rPr>
          <w:rFonts w:cs="Times New Roman"/>
          <w:b/>
          <w:lang w:val="en-GB" w:eastAsia="en-GB"/>
        </w:rPr>
        <w:t>-</w:t>
      </w:r>
      <w:r>
        <w:rPr>
          <w:rFonts w:cs="Times New Roman"/>
          <w:lang w:val="en-GB" w:eastAsia="en-GB"/>
        </w:rPr>
        <w:t>response matrix and visualized as a heatmap, with positive scores indicating synergistic effects (Red).</w:t>
      </w:r>
    </w:p>
    <w:p w14:paraId="5828A3FA" w14:textId="77777777" w:rsidR="00604695" w:rsidRDefault="00604695">
      <w:pPr>
        <w:adjustRightInd w:val="0"/>
        <w:snapToGrid w:val="0"/>
        <w:spacing w:line="360" w:lineRule="auto"/>
        <w:rPr>
          <w:rFonts w:eastAsia="宋体" w:cs="Times New Roman"/>
          <w:szCs w:val="24"/>
          <w:lang w:val="en-GB"/>
        </w:rPr>
      </w:pPr>
    </w:p>
    <w:p w14:paraId="1F43DF8D" w14:textId="77777777" w:rsidR="00604695" w:rsidRDefault="00FF1629">
      <w:pPr>
        <w:widowControl/>
        <w:rPr>
          <w:rFonts w:eastAsiaTheme="minorEastAsia" w:cs="Times New Roman"/>
          <w:kern w:val="0"/>
          <w:szCs w:val="24"/>
        </w:rPr>
      </w:pPr>
      <w:r>
        <w:rPr>
          <w:rFonts w:cs="Times New Roman"/>
          <w:b/>
          <w:bCs/>
          <w:kern w:val="32"/>
          <w:szCs w:val="32"/>
          <w:lang w:val="en-GB" w:eastAsia="en-GB"/>
        </w:rPr>
        <w:t>References</w:t>
      </w:r>
    </w:p>
    <w:p w14:paraId="09E3E33E" w14:textId="77777777" w:rsidR="00604695" w:rsidRDefault="00FF1629">
      <w:pPr>
        <w:pStyle w:val="30"/>
        <w:rPr>
          <w:rFonts w:cs="Times New Roman"/>
        </w:rPr>
      </w:pPr>
      <w:r>
        <w:rPr>
          <w:rFonts w:cs="Times New Roman"/>
        </w:rPr>
        <w:t xml:space="preserve">Yadav, B., Wennerberg, K., Aittokallio, T., Tang, J., 2015. Searching for Drug Synergy in Complex Dose–Response Landscapes Using an Interaction Potency Model. Comput. Struct. Biotechnol. J. 13, 504–513. </w:t>
      </w:r>
    </w:p>
    <w:p w14:paraId="06916BC9" w14:textId="77777777" w:rsidR="00604695" w:rsidRDefault="00FF1629">
      <w:pPr>
        <w:pStyle w:val="30"/>
        <w:rPr>
          <w:rFonts w:cs="Times New Roman"/>
        </w:rPr>
      </w:pPr>
      <w:r>
        <w:rPr>
          <w:rFonts w:cs="Times New Roman"/>
        </w:rPr>
        <w:t xml:space="preserve">Zheng, S., Wang, W., Aldahdooh, J., Malyutina, A., Shadbahr, T., Tanoli, Z., Pessia, A., Tang, J., 2022. SynergyFinder Plus: Toward Better Interpretation and Annotation of Drug Combination Screening Datasets. Genomics Proteomics Bioinformatics 20, 587–596. </w:t>
      </w:r>
    </w:p>
    <w:p w14:paraId="3D866B78" w14:textId="77777777" w:rsidR="00604695" w:rsidRDefault="00604695">
      <w:pPr>
        <w:adjustRightInd w:val="0"/>
        <w:snapToGrid w:val="0"/>
        <w:spacing w:line="360" w:lineRule="auto"/>
        <w:rPr>
          <w:rFonts w:eastAsia="宋体" w:cs="Times New Roman"/>
          <w:szCs w:val="24"/>
          <w:lang w:val="en-GB"/>
        </w:rPr>
      </w:pPr>
    </w:p>
    <w:sectPr w:rsidR="00604695">
      <w:pgSz w:w="11906" w:h="16838"/>
      <w:pgMar w:top="1440" w:right="1080" w:bottom="1440" w:left="1080" w:header="851" w:footer="992" w:gutter="0"/>
      <w:lnNumType w:countBy="1" w:restart="continuous"/>
      <w:cols w:space="425"/>
      <w:docGrid w:type="lines" w:linePitch="32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1A3D66" w16cex:dateUtc="2026-09-08T05:50:00Z"/>
  <w16cex:commentExtensible w16cex:durableId="0E08C6AB" w16cex:dateUtc="2026-09-08T05: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E334520" w16cid:durableId="0E334520"/>
  <w16cid:commentId w16cid:paraId="2E4A87CF" w16cid:durableId="6E1A3D66"/>
  <w16cid:commentId w16cid:paraId="1F4868F7" w16cid:durableId="1F4868F7"/>
  <w16cid:commentId w16cid:paraId="37EF8D4B" w16cid:durableId="37EF8D4B"/>
  <w16cid:commentId w16cid:paraId="3C6E9C93" w16cid:durableId="3C6E9C93"/>
  <w16cid:commentId w16cid:paraId="364EE249" w16cid:durableId="364EE249"/>
  <w16cid:commentId w16cid:paraId="0D81C2D3" w16cid:durableId="0D81C2D3"/>
  <w16cid:commentId w16cid:paraId="088F1C3B" w16cid:durableId="088F1C3B"/>
  <w16cid:commentId w16cid:paraId="70B85C24" w16cid:durableId="0E08C6AB"/>
  <w16cid:commentId w16cid:paraId="4B0B480F" w16cid:durableId="4B0B480F"/>
  <w16cid:commentId w16cid:paraId="4A22D317" w16cid:durableId="4A22D31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A05698" w14:textId="77777777" w:rsidR="00397F7D" w:rsidRDefault="00397F7D" w:rsidP="001D5CCE">
      <w:r>
        <w:separator/>
      </w:r>
    </w:p>
  </w:endnote>
  <w:endnote w:type="continuationSeparator" w:id="0">
    <w:p w14:paraId="2A3E6F9A" w14:textId="77777777" w:rsidR="00397F7D" w:rsidRDefault="00397F7D" w:rsidP="001D5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Noto Sans SC">
    <w:panose1 w:val="020B0200000000000000"/>
    <w:charset w:val="86"/>
    <w:family w:val="swiss"/>
    <w:pitch w:val="variable"/>
    <w:sig w:usb0="20000287" w:usb1="2ADF3C10" w:usb2="00000016" w:usb3="00000000" w:csb0="00060107"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87A7D" w14:textId="77777777" w:rsidR="00397F7D" w:rsidRDefault="00397F7D" w:rsidP="001D5CCE">
      <w:r>
        <w:separator/>
      </w:r>
    </w:p>
  </w:footnote>
  <w:footnote w:type="continuationSeparator" w:id="0">
    <w:p w14:paraId="709319DE" w14:textId="77777777" w:rsidR="00397F7D" w:rsidRDefault="00397F7D" w:rsidP="001D5C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7220"/>
    <w:rsid w:val="00066BA9"/>
    <w:rsid w:val="00112F4A"/>
    <w:rsid w:val="0014032A"/>
    <w:rsid w:val="00172A27"/>
    <w:rsid w:val="001862C2"/>
    <w:rsid w:val="001D5CCE"/>
    <w:rsid w:val="001D6775"/>
    <w:rsid w:val="001E057E"/>
    <w:rsid w:val="001E7D35"/>
    <w:rsid w:val="002733E5"/>
    <w:rsid w:val="00295A6B"/>
    <w:rsid w:val="002D4FFB"/>
    <w:rsid w:val="0031246C"/>
    <w:rsid w:val="00344241"/>
    <w:rsid w:val="00397F7D"/>
    <w:rsid w:val="003B41BF"/>
    <w:rsid w:val="003C3349"/>
    <w:rsid w:val="00401CC8"/>
    <w:rsid w:val="00405FA3"/>
    <w:rsid w:val="00407BF1"/>
    <w:rsid w:val="00426957"/>
    <w:rsid w:val="004C3B08"/>
    <w:rsid w:val="00500A82"/>
    <w:rsid w:val="0054488D"/>
    <w:rsid w:val="0057446C"/>
    <w:rsid w:val="0057561C"/>
    <w:rsid w:val="005F35F9"/>
    <w:rsid w:val="00604695"/>
    <w:rsid w:val="00630BE0"/>
    <w:rsid w:val="0065367A"/>
    <w:rsid w:val="00686300"/>
    <w:rsid w:val="006D78DB"/>
    <w:rsid w:val="006F15A4"/>
    <w:rsid w:val="00703728"/>
    <w:rsid w:val="00750DDC"/>
    <w:rsid w:val="00754DA9"/>
    <w:rsid w:val="00765F3A"/>
    <w:rsid w:val="007A3276"/>
    <w:rsid w:val="007A4BD3"/>
    <w:rsid w:val="007A4ED1"/>
    <w:rsid w:val="007B4CA0"/>
    <w:rsid w:val="007D7C90"/>
    <w:rsid w:val="00837E73"/>
    <w:rsid w:val="008C0470"/>
    <w:rsid w:val="009050A4"/>
    <w:rsid w:val="009129A2"/>
    <w:rsid w:val="009412BC"/>
    <w:rsid w:val="009854AC"/>
    <w:rsid w:val="00991DA2"/>
    <w:rsid w:val="00A50D70"/>
    <w:rsid w:val="00A67246"/>
    <w:rsid w:val="00AD376B"/>
    <w:rsid w:val="00AE4AB5"/>
    <w:rsid w:val="00BA35B4"/>
    <w:rsid w:val="00BD6C95"/>
    <w:rsid w:val="00C2484E"/>
    <w:rsid w:val="00C44EB9"/>
    <w:rsid w:val="00C47067"/>
    <w:rsid w:val="00C9027D"/>
    <w:rsid w:val="00DF5841"/>
    <w:rsid w:val="00E11AA2"/>
    <w:rsid w:val="00E127B1"/>
    <w:rsid w:val="00E22F37"/>
    <w:rsid w:val="00E3269A"/>
    <w:rsid w:val="00E430B5"/>
    <w:rsid w:val="00EC05F1"/>
    <w:rsid w:val="00EC3FB3"/>
    <w:rsid w:val="00ED4475"/>
    <w:rsid w:val="00EF423D"/>
    <w:rsid w:val="00EF698D"/>
    <w:rsid w:val="00F32748"/>
    <w:rsid w:val="00F636D9"/>
    <w:rsid w:val="00F63E07"/>
    <w:rsid w:val="00F750C0"/>
    <w:rsid w:val="00F77CD5"/>
    <w:rsid w:val="00F94A07"/>
    <w:rsid w:val="00FC5049"/>
    <w:rsid w:val="00FD08A0"/>
    <w:rsid w:val="00FF1629"/>
    <w:rsid w:val="16365CA2"/>
    <w:rsid w:val="2DC84137"/>
    <w:rsid w:val="41AA4248"/>
    <w:rsid w:val="51210BE3"/>
    <w:rsid w:val="52AD6D1D"/>
    <w:rsid w:val="63C52C7F"/>
    <w:rsid w:val="67086259"/>
    <w:rsid w:val="695A19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E73942"/>
  <w15:docId w15:val="{6DDAAC59-71C6-4DA5-B2B1-A919E37D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Times New Roman" w:cstheme="minorBidi"/>
      <w:kern w:val="2"/>
      <w:sz w:val="24"/>
      <w:szCs w:val="22"/>
    </w:rPr>
  </w:style>
  <w:style w:type="paragraph" w:styleId="2">
    <w:name w:val="heading 2"/>
    <w:basedOn w:val="a"/>
    <w:next w:val="Paragraph"/>
    <w:uiPriority w:val="9"/>
    <w:unhideWhenUsed/>
    <w:qFormat/>
    <w:pPr>
      <w:keepNext/>
      <w:keepLines/>
      <w:spacing w:before="260" w:after="260" w:line="416" w:lineRule="auto"/>
      <w:outlineLvl w:val="1"/>
    </w:pPr>
    <w:rPr>
      <w:rFonts w:cstheme="majorBidi"/>
      <w:b/>
      <w:bCs/>
      <w:szCs w:val="32"/>
    </w:rPr>
  </w:style>
  <w:style w:type="paragraph" w:styleId="3">
    <w:name w:val="heading 3"/>
    <w:basedOn w:val="a"/>
    <w:next w:val="a"/>
    <w:uiPriority w:val="9"/>
    <w:unhideWhenUsed/>
    <w:qFormat/>
    <w:pPr>
      <w:keepNext/>
      <w:keepLines/>
      <w:spacing w:before="260" w:after="260" w:line="416" w:lineRule="auto"/>
      <w:jc w:val="left"/>
      <w:outlineLvl w:val="2"/>
    </w:pPr>
    <w:rPr>
      <w:rFonts w:cs="Times New Roman"/>
      <w:b/>
      <w:color w:val="00000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next w:val="Newparagraph"/>
    <w:qFormat/>
    <w:pPr>
      <w:spacing w:before="240"/>
    </w:pPr>
  </w:style>
  <w:style w:type="paragraph" w:customStyle="1" w:styleId="Newparagraph">
    <w:name w:val="New paragraph"/>
    <w:basedOn w:val="a"/>
    <w:qFormat/>
    <w:pPr>
      <w:ind w:firstLine="720"/>
    </w:pPr>
  </w:style>
  <w:style w:type="paragraph" w:styleId="a3">
    <w:name w:val="annotation text"/>
    <w:basedOn w:val="a"/>
    <w:link w:val="Char"/>
    <w:uiPriority w:val="99"/>
    <w:qFormat/>
    <w:pPr>
      <w:jc w:val="left"/>
    </w:pPr>
  </w:style>
  <w:style w:type="paragraph" w:styleId="a4">
    <w:name w:val="Balloon Text"/>
    <w:basedOn w:val="a"/>
    <w:link w:val="Char0"/>
    <w:qFormat/>
    <w:rPr>
      <w:sz w:val="18"/>
      <w:szCs w:val="18"/>
    </w:rPr>
  </w:style>
  <w:style w:type="paragraph" w:styleId="a5">
    <w:name w:val="footer"/>
    <w:basedOn w:val="a"/>
    <w:link w:val="Char1"/>
    <w:qFormat/>
    <w:pPr>
      <w:tabs>
        <w:tab w:val="center" w:pos="4153"/>
        <w:tab w:val="right" w:pos="8306"/>
      </w:tabs>
      <w:snapToGrid w:val="0"/>
      <w:jc w:val="left"/>
    </w:pPr>
    <w:rPr>
      <w:sz w:val="18"/>
      <w:szCs w:val="18"/>
    </w:rPr>
  </w:style>
  <w:style w:type="paragraph" w:styleId="a6">
    <w:name w:val="header"/>
    <w:basedOn w:val="a"/>
    <w:link w:val="Char2"/>
    <w:qFormat/>
    <w:pPr>
      <w:tabs>
        <w:tab w:val="center" w:pos="4153"/>
        <w:tab w:val="right" w:pos="8306"/>
      </w:tabs>
      <w:snapToGrid w:val="0"/>
      <w:jc w:val="center"/>
    </w:pPr>
    <w:rPr>
      <w:sz w:val="18"/>
      <w:szCs w:val="18"/>
    </w:rPr>
  </w:style>
  <w:style w:type="paragraph" w:styleId="a7">
    <w:name w:val="annotation subject"/>
    <w:basedOn w:val="a3"/>
    <w:next w:val="a3"/>
    <w:link w:val="Char3"/>
    <w:qFormat/>
    <w:rPr>
      <w:b/>
      <w:bCs/>
    </w:rPr>
  </w:style>
  <w:style w:type="character" w:styleId="a8">
    <w:name w:val="line number"/>
    <w:basedOn w:val="a0"/>
  </w:style>
  <w:style w:type="character" w:styleId="a9">
    <w:name w:val="Hyperlink"/>
    <w:basedOn w:val="a0"/>
    <w:rPr>
      <w:color w:val="0000FF"/>
      <w:u w:val="single"/>
    </w:rPr>
  </w:style>
  <w:style w:type="character" w:styleId="aa">
    <w:name w:val="annotation reference"/>
    <w:basedOn w:val="a0"/>
    <w:qFormat/>
    <w:rPr>
      <w:sz w:val="21"/>
      <w:szCs w:val="21"/>
    </w:rPr>
  </w:style>
  <w:style w:type="paragraph" w:customStyle="1" w:styleId="1">
    <w:name w:val="书目1"/>
    <w:basedOn w:val="a"/>
    <w:qFormat/>
    <w:pPr>
      <w:tabs>
        <w:tab w:val="left" w:pos="264"/>
      </w:tabs>
      <w:spacing w:after="240"/>
      <w:ind w:left="264" w:hanging="264"/>
    </w:pPr>
  </w:style>
  <w:style w:type="character" w:customStyle="1" w:styleId="Char2">
    <w:name w:val="页眉 Char"/>
    <w:basedOn w:val="a0"/>
    <w:link w:val="a6"/>
    <w:qFormat/>
    <w:rPr>
      <w:rFonts w:eastAsia="Times New Roman" w:cstheme="minorBidi"/>
      <w:kern w:val="2"/>
      <w:sz w:val="18"/>
      <w:szCs w:val="18"/>
    </w:rPr>
  </w:style>
  <w:style w:type="character" w:customStyle="1" w:styleId="Char1">
    <w:name w:val="页脚 Char"/>
    <w:basedOn w:val="a0"/>
    <w:link w:val="a5"/>
    <w:qFormat/>
    <w:rPr>
      <w:rFonts w:eastAsia="Times New Roman" w:cstheme="minorBidi"/>
      <w:kern w:val="2"/>
      <w:sz w:val="18"/>
      <w:szCs w:val="18"/>
    </w:rPr>
  </w:style>
  <w:style w:type="paragraph" w:customStyle="1" w:styleId="Authornames">
    <w:name w:val="Author names"/>
    <w:basedOn w:val="a"/>
    <w:next w:val="a"/>
    <w:qFormat/>
    <w:pPr>
      <w:spacing w:before="240" w:line="360" w:lineRule="auto"/>
    </w:pPr>
    <w:rPr>
      <w:sz w:val="28"/>
    </w:rPr>
  </w:style>
  <w:style w:type="paragraph" w:customStyle="1" w:styleId="Correspondencedetails">
    <w:name w:val="Correspondence details"/>
    <w:basedOn w:val="a"/>
    <w:qFormat/>
    <w:pPr>
      <w:spacing w:before="240" w:line="360" w:lineRule="auto"/>
    </w:pPr>
  </w:style>
  <w:style w:type="paragraph" w:customStyle="1" w:styleId="20">
    <w:name w:val="书目2"/>
    <w:basedOn w:val="a"/>
    <w:qFormat/>
    <w:pPr>
      <w:tabs>
        <w:tab w:val="left" w:pos="504"/>
      </w:tabs>
      <w:spacing w:after="240"/>
      <w:ind w:left="504" w:hanging="504"/>
    </w:pPr>
  </w:style>
  <w:style w:type="paragraph" w:customStyle="1" w:styleId="10">
    <w:name w:val="修订1"/>
    <w:hidden/>
    <w:uiPriority w:val="99"/>
    <w:unhideWhenUsed/>
    <w:qFormat/>
    <w:rPr>
      <w:rFonts w:eastAsia="Times New Roman" w:cstheme="minorBidi"/>
      <w:kern w:val="2"/>
      <w:sz w:val="24"/>
      <w:szCs w:val="22"/>
    </w:rPr>
  </w:style>
  <w:style w:type="paragraph" w:customStyle="1" w:styleId="21">
    <w:name w:val="修订2"/>
    <w:hidden/>
    <w:uiPriority w:val="99"/>
    <w:unhideWhenUsed/>
    <w:qFormat/>
    <w:rPr>
      <w:rFonts w:eastAsia="Times New Roman" w:cstheme="minorBidi"/>
      <w:kern w:val="2"/>
      <w:sz w:val="24"/>
      <w:szCs w:val="22"/>
    </w:rPr>
  </w:style>
  <w:style w:type="paragraph" w:customStyle="1" w:styleId="30">
    <w:name w:val="书目3"/>
    <w:basedOn w:val="a"/>
    <w:next w:val="a"/>
    <w:uiPriority w:val="37"/>
    <w:unhideWhenUsed/>
    <w:qFormat/>
    <w:pPr>
      <w:ind w:left="720" w:hanging="720"/>
    </w:pPr>
  </w:style>
  <w:style w:type="character" w:customStyle="1" w:styleId="11">
    <w:name w:val="未处理的提及1"/>
    <w:basedOn w:val="a0"/>
    <w:uiPriority w:val="99"/>
    <w:semiHidden/>
    <w:unhideWhenUsed/>
    <w:qFormat/>
    <w:rPr>
      <w:color w:val="605E5C"/>
      <w:shd w:val="clear" w:color="auto" w:fill="E1DFDD"/>
    </w:rPr>
  </w:style>
  <w:style w:type="character" w:customStyle="1" w:styleId="Char0">
    <w:name w:val="批注框文本 Char"/>
    <w:basedOn w:val="a0"/>
    <w:link w:val="a4"/>
    <w:qFormat/>
    <w:rPr>
      <w:rFonts w:eastAsia="Times New Roman" w:cstheme="minorBidi"/>
      <w:kern w:val="2"/>
      <w:sz w:val="18"/>
      <w:szCs w:val="18"/>
    </w:rPr>
  </w:style>
  <w:style w:type="character" w:customStyle="1" w:styleId="Char">
    <w:name w:val="批注文字 Char"/>
    <w:basedOn w:val="a0"/>
    <w:link w:val="a3"/>
    <w:uiPriority w:val="99"/>
    <w:qFormat/>
    <w:rPr>
      <w:rFonts w:eastAsia="Times New Roman" w:cstheme="minorBidi"/>
      <w:kern w:val="2"/>
      <w:sz w:val="24"/>
      <w:szCs w:val="22"/>
    </w:rPr>
  </w:style>
  <w:style w:type="character" w:customStyle="1" w:styleId="Char3">
    <w:name w:val="批注主题 Char"/>
    <w:basedOn w:val="Char"/>
    <w:link w:val="a7"/>
    <w:qFormat/>
    <w:rPr>
      <w:rFonts w:eastAsia="Times New Roman" w:cstheme="minorBidi"/>
      <w:b/>
      <w:bCs/>
      <w:kern w:val="2"/>
      <w:sz w:val="24"/>
      <w:szCs w:val="22"/>
    </w:rPr>
  </w:style>
  <w:style w:type="paragraph" w:styleId="ab">
    <w:name w:val="Revision"/>
    <w:hidden/>
    <w:uiPriority w:val="99"/>
    <w:unhideWhenUsed/>
    <w:rsid w:val="001D5CCE"/>
    <w:rPr>
      <w:rFonts w:eastAsia="Times New Roman" w:cstheme="minorBidi"/>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8/08/relationships/commentsExtensible" Target="commentsExtensible.xml"/><Relationship Id="rId3" Type="http://schemas.openxmlformats.org/officeDocument/2006/relationships/webSettings" Target="webSettings.xml"/><Relationship Id="rId7" Type="http://schemas.openxmlformats.org/officeDocument/2006/relationships/fontTable" Target="fontTable.xml"/><Relationship Id="rId12" Type="http://schemas.microsoft.com/office/2016/09/relationships/commentsIds" Target="commentsId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1069</Words>
  <Characters>6094</Characters>
  <Application>Microsoft Office Word</Application>
  <DocSecurity>0</DocSecurity>
  <Lines>50</Lines>
  <Paragraphs>14</Paragraphs>
  <ScaleCrop>false</ScaleCrop>
  <Company/>
  <LinksUpToDate>false</LinksUpToDate>
  <CharactersWithSpaces>7149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黄佳程</dc:creator>
  <cp:lastModifiedBy>Virosin</cp:lastModifiedBy>
  <cp:revision>16</cp:revision>
  <dcterms:created xsi:type="dcterms:W3CDTF">2026-09-08T05:53:00Z</dcterms:created>
  <dcterms:modified xsi:type="dcterms:W3CDTF">2026-09-09T09:16:00Z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6DF8880CD1744E5F9AF902588A6C02A3_13</vt:lpwstr>
  </property>
  <property fmtid="{D5CDD505-2E9C-101B-9397-08002B2CF9AE}" pid="4" name="ZOTERO_PREF_1">
    <vt:lpwstr>&lt;data data-version="3" zotero-version="9.0.6"&gt;&lt;session id="o2b9PoXP"/&gt;&lt;style id="http://www.zotero.org/styles/elsevier-harvard" hasBibliography="1" bibliographyStyleHasBeenSet="1"/&gt;&lt;prefs&gt;&lt;pref name="fieldType" value="Field"/&gt;&lt;pref name="automaticJournalA</vt:lpwstr>
  </property>
  <property fmtid="{D5CDD505-2E9C-101B-9397-08002B2CF9AE}" pid="5" name="ZOTERO_PREF_2">
    <vt:lpwstr>bbreviations" value="true"/&gt;&lt;/prefs&gt;&lt;/data&gt;</vt:lpwstr>
  </property>
  <property fmtid="{D5CDD505-2E9C-101B-9397-08002B2CF9AE}" pid="6" name="KSOTemplateDocerSaveRecord">
    <vt:lpwstr>eyJoZGlkIjoiN2E4ZGE4NDJiMmVmMmNlMjU0Yzg4ZWViY2I1YzkxNjUiLCJ1c2VySWQiOiIyMDYxMjE1MjQifQ==</vt:lpwstr>
  </property>
</Properties>
</file>