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3D6" w:rsidRDefault="004173D6" w:rsidP="004173D6">
      <w:pPr>
        <w:pStyle w:val="MDPI12title"/>
        <w:spacing w:line="360" w:lineRule="auto"/>
        <w:jc w:val="both"/>
        <w:rPr>
          <w:rFonts w:ascii="Times New Roman" w:eastAsiaTheme="minorEastAsia" w:hAnsi="Times New Roman"/>
          <w:bCs/>
          <w:i/>
          <w:sz w:val="28"/>
          <w:szCs w:val="24"/>
          <w:lang w:eastAsia="zh-CN"/>
        </w:rPr>
      </w:pPr>
      <w:bookmarkStart w:id="0" w:name="OLE_LINK54"/>
      <w:bookmarkStart w:id="1" w:name="OLE_LINK43"/>
      <w:bookmarkStart w:id="2" w:name="OLE_LINK15"/>
      <w:proofErr w:type="spellStart"/>
      <w:r w:rsidRPr="004173D6">
        <w:rPr>
          <w:rFonts w:ascii="Times New Roman" w:eastAsiaTheme="minorEastAsia" w:hAnsi="Times New Roman" w:hint="eastAsia"/>
          <w:bCs/>
          <w:i/>
          <w:sz w:val="28"/>
          <w:szCs w:val="24"/>
          <w:lang w:eastAsia="zh-CN"/>
        </w:rPr>
        <w:t>Virologica</w:t>
      </w:r>
      <w:proofErr w:type="spellEnd"/>
      <w:r w:rsidRPr="004173D6">
        <w:rPr>
          <w:rFonts w:ascii="Times New Roman" w:eastAsiaTheme="minorEastAsia" w:hAnsi="Times New Roman"/>
          <w:bCs/>
          <w:i/>
          <w:sz w:val="28"/>
          <w:szCs w:val="24"/>
          <w:lang w:eastAsia="zh-CN"/>
        </w:rPr>
        <w:t xml:space="preserve"> </w:t>
      </w:r>
      <w:proofErr w:type="spellStart"/>
      <w:r w:rsidRPr="004173D6">
        <w:rPr>
          <w:rFonts w:ascii="Times New Roman" w:eastAsiaTheme="minorEastAsia" w:hAnsi="Times New Roman"/>
          <w:bCs/>
          <w:i/>
          <w:sz w:val="28"/>
          <w:szCs w:val="24"/>
          <w:lang w:eastAsia="zh-CN"/>
        </w:rPr>
        <w:t>Sinica</w:t>
      </w:r>
      <w:proofErr w:type="spellEnd"/>
    </w:p>
    <w:p w:rsidR="004173D6" w:rsidRPr="004173D6" w:rsidRDefault="004173D6" w:rsidP="004173D6">
      <w:pPr>
        <w:rPr>
          <w:rFonts w:ascii="Times New Roman" w:hAnsi="Times New Roman" w:cs="Times New Roman"/>
          <w:b/>
          <w:sz w:val="22"/>
          <w:lang w:bidi="en-US"/>
        </w:rPr>
      </w:pPr>
      <w:r w:rsidRPr="004173D6">
        <w:rPr>
          <w:rFonts w:ascii="Times New Roman" w:hAnsi="Times New Roman" w:cs="Times New Roman"/>
          <w:b/>
          <w:sz w:val="22"/>
          <w:lang w:bidi="en-US"/>
        </w:rPr>
        <w:t>Supplementary Materials</w:t>
      </w:r>
    </w:p>
    <w:p w:rsidR="004173D6" w:rsidRPr="004173D6" w:rsidRDefault="004173D6" w:rsidP="004173D6">
      <w:pPr>
        <w:rPr>
          <w:rFonts w:hint="eastAsia"/>
          <w:lang w:bidi="en-US"/>
        </w:rPr>
      </w:pPr>
    </w:p>
    <w:p w:rsidR="004173D6" w:rsidRPr="00F1581E" w:rsidRDefault="004173D6" w:rsidP="004173D6">
      <w:pPr>
        <w:pStyle w:val="MDPI12title"/>
        <w:spacing w:line="360" w:lineRule="auto"/>
        <w:jc w:val="both"/>
        <w:rPr>
          <w:rFonts w:ascii="Times New Roman" w:hAnsi="Times New Roman"/>
          <w:sz w:val="28"/>
          <w:szCs w:val="24"/>
        </w:rPr>
      </w:pPr>
      <w:r w:rsidRPr="00F1581E">
        <w:rPr>
          <w:rFonts w:ascii="Times New Roman" w:hAnsi="Times New Roman"/>
          <w:bCs/>
          <w:sz w:val="28"/>
          <w:szCs w:val="24"/>
        </w:rPr>
        <w:t xml:space="preserve">Monocyte-associated C1q </w:t>
      </w:r>
      <w:proofErr w:type="spellStart"/>
      <w:r w:rsidRPr="00F1581E">
        <w:rPr>
          <w:rFonts w:ascii="Times New Roman" w:hAnsi="Times New Roman"/>
          <w:bCs/>
          <w:sz w:val="28"/>
          <w:szCs w:val="24"/>
        </w:rPr>
        <w:t>upregulation</w:t>
      </w:r>
      <w:proofErr w:type="spellEnd"/>
      <w:r w:rsidRPr="00F1581E">
        <w:rPr>
          <w:rFonts w:ascii="Times New Roman" w:hAnsi="Times New Roman"/>
          <w:bCs/>
          <w:sz w:val="28"/>
          <w:szCs w:val="24"/>
        </w:rPr>
        <w:t xml:space="preserve"> and complement activation contribute to vascular endothelial and multi-organ injury in severe dengue</w:t>
      </w:r>
      <w:bookmarkEnd w:id="0"/>
      <w:bookmarkEnd w:id="1"/>
      <w:bookmarkEnd w:id="2"/>
    </w:p>
    <w:p w:rsidR="004173D6" w:rsidRPr="00F1581E" w:rsidRDefault="004173D6" w:rsidP="004173D6">
      <w:pPr>
        <w:widowControl/>
        <w:adjustRightInd w:val="0"/>
        <w:snapToGrid w:val="0"/>
        <w:spacing w:after="360" w:line="360" w:lineRule="auto"/>
        <w:rPr>
          <w:rFonts w:ascii="Times New Roman" w:eastAsia="Times New Roman" w:hAnsi="Times New Roman" w:cs="Times New Roman"/>
          <w:color w:val="000000"/>
          <w:kern w:val="0"/>
          <w:sz w:val="22"/>
          <w:szCs w:val="24"/>
          <w:lang w:eastAsia="de-DE" w:bidi="en-US"/>
        </w:rPr>
      </w:pPr>
      <w:bookmarkStart w:id="3" w:name="_Hlk211353491"/>
      <w:r w:rsidRPr="00F1581E">
        <w:rPr>
          <w:rFonts w:ascii="Times New Roman" w:eastAsia="Times New Roman" w:hAnsi="Times New Roman" w:cs="Times New Roman"/>
          <w:color w:val="000000"/>
          <w:kern w:val="0"/>
          <w:sz w:val="22"/>
          <w:szCs w:val="24"/>
          <w:lang w:val="de-DE" w:eastAsia="de-DE" w:bidi="en-US"/>
        </w:rPr>
        <w:t xml:space="preserve">Wei Yang </w:t>
      </w:r>
      <w:r w:rsidRPr="00F1581E">
        <w:rPr>
          <w:rFonts w:ascii="Times New Roman" w:eastAsia="Times New Roman" w:hAnsi="Times New Roman" w:cs="Times New Roman"/>
          <w:color w:val="000000"/>
          <w:kern w:val="0"/>
          <w:sz w:val="22"/>
          <w:szCs w:val="24"/>
          <w:vertAlign w:val="superscript"/>
          <w:lang w:val="de-DE" w:bidi="en-US"/>
        </w:rPr>
        <w:t>a, 1</w:t>
      </w:r>
      <w:r w:rsidRPr="00F1581E">
        <w:rPr>
          <w:rFonts w:ascii="Times New Roman" w:eastAsia="Times New Roman" w:hAnsi="Times New Roman" w:cs="Times New Roman"/>
          <w:color w:val="000000"/>
          <w:kern w:val="0"/>
          <w:sz w:val="22"/>
          <w:szCs w:val="24"/>
          <w:lang w:val="de-DE" w:eastAsia="de-DE" w:bidi="en-US"/>
        </w:rPr>
        <w:t>, Qian Chen</w:t>
      </w:r>
      <w:r w:rsidRPr="00F1581E">
        <w:rPr>
          <w:rFonts w:ascii="Times New Roman" w:eastAsia="Times New Roman" w:hAnsi="Times New Roman" w:cs="Times New Roman"/>
          <w:color w:val="000000"/>
          <w:kern w:val="0"/>
          <w:sz w:val="22"/>
          <w:szCs w:val="24"/>
          <w:vertAlign w:val="superscript"/>
          <w:lang w:val="de-DE" w:bidi="en-US"/>
        </w:rPr>
        <w:t xml:space="preserve"> a, 1</w:t>
      </w:r>
      <w:r w:rsidRPr="00F1581E">
        <w:rPr>
          <w:rFonts w:ascii="Times New Roman" w:eastAsia="Times New Roman" w:hAnsi="Times New Roman" w:cs="Times New Roman"/>
          <w:color w:val="000000"/>
          <w:kern w:val="0"/>
          <w:sz w:val="22"/>
          <w:szCs w:val="24"/>
          <w:lang w:val="de-DE" w:eastAsia="de-DE" w:bidi="en-US"/>
        </w:rPr>
        <w:t xml:space="preserve">, Nan Yao </w:t>
      </w:r>
      <w:r w:rsidRPr="00F1581E">
        <w:rPr>
          <w:rFonts w:ascii="Times New Roman" w:eastAsia="Times New Roman" w:hAnsi="Times New Roman" w:cs="Times New Roman"/>
          <w:color w:val="000000"/>
          <w:kern w:val="0"/>
          <w:sz w:val="22"/>
          <w:szCs w:val="24"/>
          <w:vertAlign w:val="superscript"/>
          <w:lang w:val="de-DE" w:bidi="en-US"/>
        </w:rPr>
        <w:t>a, 1</w:t>
      </w:r>
      <w:r w:rsidRPr="00F1581E">
        <w:rPr>
          <w:rFonts w:ascii="Times New Roman" w:eastAsia="Times New Roman" w:hAnsi="Times New Roman" w:cs="Times New Roman"/>
          <w:color w:val="000000"/>
          <w:kern w:val="0"/>
          <w:sz w:val="22"/>
          <w:szCs w:val="24"/>
          <w:lang w:val="de-DE" w:eastAsia="de-DE" w:bidi="en-US"/>
        </w:rPr>
        <w:t xml:space="preserve">, Zhe Li </w:t>
      </w:r>
      <w:r w:rsidRPr="00F1581E">
        <w:rPr>
          <w:rFonts w:ascii="Times New Roman" w:eastAsia="Times New Roman" w:hAnsi="Times New Roman" w:cs="Times New Roman"/>
          <w:color w:val="000000"/>
          <w:kern w:val="0"/>
          <w:sz w:val="22"/>
          <w:szCs w:val="24"/>
          <w:vertAlign w:val="superscript"/>
          <w:lang w:val="de-DE" w:bidi="en-US"/>
        </w:rPr>
        <w:t>a</w:t>
      </w:r>
      <w:r w:rsidRPr="00F1581E">
        <w:rPr>
          <w:rFonts w:ascii="Times New Roman" w:eastAsia="Times New Roman" w:hAnsi="Times New Roman" w:cs="Times New Roman"/>
          <w:color w:val="000000"/>
          <w:kern w:val="0"/>
          <w:sz w:val="22"/>
          <w:szCs w:val="24"/>
          <w:lang w:val="de-DE" w:eastAsia="de-DE" w:bidi="en-US"/>
        </w:rPr>
        <w:t xml:space="preserve">, Yi-Teng Zhang </w:t>
      </w:r>
      <w:r w:rsidRPr="00F1581E">
        <w:rPr>
          <w:rFonts w:ascii="Times New Roman" w:eastAsia="Times New Roman" w:hAnsi="Times New Roman" w:cs="Times New Roman"/>
          <w:color w:val="000000"/>
          <w:kern w:val="0"/>
          <w:sz w:val="22"/>
          <w:szCs w:val="24"/>
          <w:vertAlign w:val="superscript"/>
          <w:lang w:val="de-DE" w:bidi="en-US"/>
        </w:rPr>
        <w:t>a</w:t>
      </w:r>
      <w:r w:rsidRPr="00F1581E">
        <w:rPr>
          <w:rFonts w:ascii="Times New Roman" w:eastAsia="Times New Roman" w:hAnsi="Times New Roman" w:cs="Times New Roman"/>
          <w:color w:val="000000"/>
          <w:kern w:val="0"/>
          <w:sz w:val="22"/>
          <w:szCs w:val="24"/>
          <w:lang w:val="de-DE" w:eastAsia="de-DE" w:bidi="en-US"/>
        </w:rPr>
        <w:t xml:space="preserve">, Sheng-Nan Wang </w:t>
      </w:r>
      <w:r w:rsidRPr="00F1581E">
        <w:rPr>
          <w:rFonts w:ascii="Times New Roman" w:eastAsia="Times New Roman" w:hAnsi="Times New Roman" w:cs="Times New Roman"/>
          <w:color w:val="000000"/>
          <w:kern w:val="0"/>
          <w:sz w:val="22"/>
          <w:szCs w:val="24"/>
          <w:vertAlign w:val="superscript"/>
          <w:lang w:val="de-DE" w:bidi="en-US"/>
        </w:rPr>
        <w:t>a</w:t>
      </w:r>
      <w:r w:rsidRPr="00F1581E">
        <w:rPr>
          <w:rFonts w:ascii="Times New Roman" w:eastAsia="Times New Roman" w:hAnsi="Times New Roman" w:cs="Times New Roman"/>
          <w:color w:val="000000"/>
          <w:kern w:val="0"/>
          <w:sz w:val="22"/>
          <w:szCs w:val="24"/>
          <w:lang w:val="de-DE" w:eastAsia="de-DE" w:bidi="en-US"/>
        </w:rPr>
        <w:t xml:space="preserve">, Wei Wang </w:t>
      </w:r>
      <w:r w:rsidRPr="00F1581E">
        <w:rPr>
          <w:rFonts w:ascii="Times New Roman" w:eastAsia="Times New Roman" w:hAnsi="Times New Roman" w:cs="Times New Roman"/>
          <w:color w:val="000000"/>
          <w:kern w:val="0"/>
          <w:sz w:val="22"/>
          <w:szCs w:val="24"/>
          <w:vertAlign w:val="superscript"/>
          <w:lang w:val="de-DE" w:bidi="en-US"/>
        </w:rPr>
        <w:t xml:space="preserve">a, </w:t>
      </w:r>
      <w:r w:rsidRPr="00F1581E">
        <w:rPr>
          <w:rFonts w:ascii="Times New Roman" w:eastAsia="Times New Roman" w:hAnsi="Times New Roman" w:cs="Times New Roman"/>
          <w:color w:val="000000"/>
          <w:kern w:val="0"/>
          <w:sz w:val="22"/>
          <w:szCs w:val="24"/>
          <w:vertAlign w:val="superscript"/>
          <w:lang w:val="de-DE" w:eastAsia="de-DE" w:bidi="en-US"/>
        </w:rPr>
        <w:t>*</w:t>
      </w:r>
      <w:bookmarkEnd w:id="3"/>
    </w:p>
    <w:p w:rsidR="004173D6" w:rsidRPr="00F1581E" w:rsidRDefault="004173D6" w:rsidP="004173D6">
      <w:pPr>
        <w:spacing w:line="360" w:lineRule="auto"/>
        <w:rPr>
          <w:rFonts w:ascii="Times New Roman" w:eastAsiaTheme="minorHAnsi" w:hAnsi="Times New Roman" w:cs="Times New Roman"/>
          <w:sz w:val="24"/>
          <w:szCs w:val="24"/>
        </w:rPr>
      </w:pPr>
      <w:proofErr w:type="gramStart"/>
      <w:r w:rsidRPr="00F1581E">
        <w:rPr>
          <w:rFonts w:ascii="Times New Roman" w:eastAsiaTheme="minorHAnsi" w:hAnsi="Times New Roman" w:cs="Times New Roman"/>
          <w:sz w:val="24"/>
          <w:szCs w:val="24"/>
          <w:vertAlign w:val="superscript"/>
        </w:rPr>
        <w:t>a</w:t>
      </w:r>
      <w:proofErr w:type="gramEnd"/>
      <w:r w:rsidRPr="00F1581E">
        <w:rPr>
          <w:rFonts w:ascii="Times New Roman" w:eastAsiaTheme="minorHAnsi" w:hAnsi="Times New Roman" w:cs="Times New Roman"/>
          <w:sz w:val="24"/>
          <w:szCs w:val="24"/>
          <w:vertAlign w:val="superscript"/>
        </w:rPr>
        <w:t xml:space="preserve"> </w:t>
      </w:r>
      <w:r w:rsidRPr="00F1581E">
        <w:rPr>
          <w:rFonts w:ascii="Times New Roman" w:eastAsiaTheme="minorHAnsi" w:hAnsi="Times New Roman" w:cs="Times New Roman"/>
          <w:sz w:val="24"/>
          <w:szCs w:val="24"/>
        </w:rPr>
        <w:t>National Center of Technology Innovation for animal model. National Human Diseases Animal Model Resource Center. Key Laboratory of Pathogen Infection Prevention and Control (Peking Union Medical College), Ministry of Education. NHC Key Laboratory of Comparative Medicine. Institute of Laboratory Animal Science, CAMS &amp; PUMC, Beijing 100021, China.</w:t>
      </w:r>
    </w:p>
    <w:p w:rsidR="004173D6" w:rsidRPr="00F1581E" w:rsidRDefault="004173D6" w:rsidP="004173D6">
      <w:pPr>
        <w:spacing w:line="360" w:lineRule="auto"/>
        <w:rPr>
          <w:rFonts w:ascii="Times New Roman" w:eastAsiaTheme="minorHAnsi" w:hAnsi="Times New Roman" w:cs="Times New Roman"/>
          <w:sz w:val="24"/>
          <w:szCs w:val="24"/>
        </w:rPr>
      </w:pPr>
    </w:p>
    <w:p w:rsidR="004173D6" w:rsidRPr="00F1581E" w:rsidRDefault="004173D6" w:rsidP="004173D6">
      <w:pPr>
        <w:widowControl/>
        <w:adjustRightInd w:val="0"/>
        <w:snapToGrid w:val="0"/>
        <w:spacing w:line="360" w:lineRule="auto"/>
        <w:rPr>
          <w:rFonts w:ascii="Times New Roman" w:eastAsia="Times New Roman" w:hAnsi="Times New Roman" w:cs="Times New Roman"/>
          <w:color w:val="000000"/>
          <w:kern w:val="0"/>
          <w:sz w:val="24"/>
          <w:szCs w:val="24"/>
          <w:lang w:eastAsia="de-DE" w:bidi="en-US"/>
        </w:rPr>
      </w:pPr>
      <w:r w:rsidRPr="00F1581E">
        <w:rPr>
          <w:rFonts w:ascii="Times New Roman" w:eastAsia="Times New Roman" w:hAnsi="Times New Roman" w:cs="Times New Roman"/>
          <w:color w:val="000000"/>
          <w:kern w:val="0"/>
          <w:sz w:val="24"/>
          <w:szCs w:val="24"/>
          <w:vertAlign w:val="superscript"/>
          <w:lang w:eastAsia="de-DE" w:bidi="en-US"/>
        </w:rPr>
        <w:t>1</w:t>
      </w:r>
      <w:r w:rsidRPr="00F1581E">
        <w:rPr>
          <w:rFonts w:ascii="Times New Roman" w:eastAsiaTheme="minorHAnsi" w:hAnsi="Times New Roman" w:cs="Times New Roman"/>
          <w:sz w:val="24"/>
          <w:szCs w:val="24"/>
        </w:rPr>
        <w:t xml:space="preserve"> Wei Yang, </w:t>
      </w:r>
      <w:proofErr w:type="spellStart"/>
      <w:r w:rsidRPr="00F1581E">
        <w:rPr>
          <w:rFonts w:ascii="Times New Roman" w:eastAsiaTheme="minorHAnsi" w:hAnsi="Times New Roman" w:cs="Times New Roman"/>
          <w:sz w:val="24"/>
          <w:szCs w:val="24"/>
        </w:rPr>
        <w:t>Qian</w:t>
      </w:r>
      <w:proofErr w:type="spellEnd"/>
      <w:r w:rsidRPr="00F1581E">
        <w:rPr>
          <w:rFonts w:ascii="Times New Roman" w:eastAsiaTheme="minorHAnsi" w:hAnsi="Times New Roman" w:cs="Times New Roman"/>
          <w:sz w:val="24"/>
          <w:szCs w:val="24"/>
        </w:rPr>
        <w:t xml:space="preserve"> Chen </w:t>
      </w:r>
      <w:r w:rsidRPr="00F1581E">
        <w:rPr>
          <w:rFonts w:ascii="Times New Roman" w:eastAsia="Times New Roman" w:hAnsi="Times New Roman" w:cs="Times New Roman"/>
          <w:color w:val="000000"/>
          <w:kern w:val="0"/>
          <w:sz w:val="24"/>
          <w:szCs w:val="24"/>
          <w:lang w:eastAsia="de-DE" w:bidi="en-US"/>
        </w:rPr>
        <w:t xml:space="preserve">and </w:t>
      </w:r>
      <w:r w:rsidRPr="00F1581E">
        <w:rPr>
          <w:rFonts w:ascii="Times New Roman" w:eastAsiaTheme="minorHAnsi" w:hAnsi="Times New Roman" w:cs="Times New Roman"/>
          <w:sz w:val="24"/>
          <w:szCs w:val="24"/>
        </w:rPr>
        <w:t>Nan Yao</w:t>
      </w:r>
      <w:r w:rsidRPr="00F1581E">
        <w:rPr>
          <w:rFonts w:ascii="Times New Roman" w:eastAsia="Times New Roman" w:hAnsi="Times New Roman" w:cs="Times New Roman"/>
          <w:color w:val="000000"/>
          <w:kern w:val="0"/>
          <w:sz w:val="24"/>
          <w:szCs w:val="24"/>
          <w:lang w:eastAsia="de-DE" w:bidi="en-US"/>
        </w:rPr>
        <w:t xml:space="preserve"> contributed equally to this work.</w:t>
      </w:r>
    </w:p>
    <w:p w:rsidR="004173D6" w:rsidRPr="00F1581E" w:rsidRDefault="004173D6" w:rsidP="004173D6">
      <w:pPr>
        <w:spacing w:line="360" w:lineRule="auto"/>
        <w:rPr>
          <w:rFonts w:ascii="Times New Roman" w:eastAsiaTheme="minorHAnsi" w:hAnsi="Times New Roman" w:cs="Times New Roman"/>
          <w:sz w:val="24"/>
          <w:szCs w:val="24"/>
        </w:rPr>
      </w:pPr>
    </w:p>
    <w:p w:rsidR="004173D6" w:rsidRPr="00F1581E" w:rsidRDefault="004173D6" w:rsidP="004173D6">
      <w:pPr>
        <w:spacing w:line="360" w:lineRule="auto"/>
        <w:rPr>
          <w:rFonts w:ascii="Times New Roman" w:hAnsi="Times New Roman" w:cs="Times New Roman"/>
          <w:sz w:val="24"/>
          <w:szCs w:val="24"/>
        </w:rPr>
      </w:pPr>
      <w:r w:rsidRPr="00F1581E">
        <w:rPr>
          <w:rFonts w:ascii="Times New Roman" w:hAnsi="Times New Roman" w:cs="Times New Roman"/>
          <w:sz w:val="24"/>
          <w:szCs w:val="24"/>
        </w:rPr>
        <w:t>*Corresponding author:</w:t>
      </w:r>
    </w:p>
    <w:p w:rsidR="004173D6" w:rsidRPr="00F1581E" w:rsidRDefault="004173D6" w:rsidP="004173D6">
      <w:pPr>
        <w:spacing w:line="360" w:lineRule="auto"/>
        <w:rPr>
          <w:rFonts w:ascii="Times New Roman" w:hAnsi="Times New Roman" w:cs="Times New Roman"/>
          <w:sz w:val="24"/>
          <w:szCs w:val="24"/>
        </w:rPr>
      </w:pPr>
      <w:r w:rsidRPr="00F1581E">
        <w:rPr>
          <w:rFonts w:ascii="Times New Roman" w:eastAsiaTheme="minorHAnsi" w:hAnsi="Times New Roman" w:cs="Times New Roman"/>
          <w:sz w:val="24"/>
          <w:szCs w:val="24"/>
        </w:rPr>
        <w:t xml:space="preserve">Email: </w:t>
      </w:r>
      <w:bookmarkStart w:id="4" w:name="OLE_LINK18"/>
      <w:bookmarkStart w:id="5" w:name="OLE_LINK19"/>
      <w:r w:rsidRPr="00F1581E">
        <w:rPr>
          <w:rFonts w:ascii="Times New Roman" w:eastAsiaTheme="minorHAnsi" w:hAnsi="Times New Roman" w:cs="Times New Roman"/>
          <w:sz w:val="24"/>
          <w:szCs w:val="24"/>
        </w:rPr>
        <w:t>wangw@cnilas.org</w:t>
      </w:r>
      <w:bookmarkEnd w:id="4"/>
      <w:bookmarkEnd w:id="5"/>
      <w:r w:rsidRPr="00F1581E">
        <w:rPr>
          <w:rFonts w:ascii="Times New Roman" w:eastAsiaTheme="minorHAnsi" w:hAnsi="Times New Roman" w:cs="Times New Roman"/>
          <w:sz w:val="24"/>
          <w:szCs w:val="24"/>
        </w:rPr>
        <w:t xml:space="preserve"> </w:t>
      </w:r>
      <w:bookmarkStart w:id="6" w:name="OLE_LINK10"/>
      <w:bookmarkStart w:id="7" w:name="OLE_LINK11"/>
      <w:r w:rsidRPr="00F1581E">
        <w:rPr>
          <w:rFonts w:ascii="Times New Roman" w:eastAsiaTheme="minorHAnsi" w:hAnsi="Times New Roman" w:cs="Times New Roman"/>
          <w:sz w:val="24"/>
          <w:szCs w:val="24"/>
        </w:rPr>
        <w:t>(W. Wang)</w:t>
      </w:r>
      <w:bookmarkEnd w:id="6"/>
      <w:bookmarkEnd w:id="7"/>
      <w:r w:rsidRPr="00F1581E">
        <w:rPr>
          <w:rFonts w:ascii="Times New Roman" w:hAnsi="Times New Roman" w:cs="Times New Roman"/>
        </w:rPr>
        <w:t>.</w:t>
      </w:r>
      <w:r w:rsidRPr="00F1581E">
        <w:rPr>
          <w:rFonts w:ascii="Times New Roman" w:hAnsi="Times New Roman" w:cs="Times New Roman"/>
          <w:sz w:val="24"/>
          <w:szCs w:val="24"/>
        </w:rPr>
        <w:t xml:space="preserve"> </w:t>
      </w:r>
    </w:p>
    <w:p w:rsidR="004173D6" w:rsidRPr="00F1581E" w:rsidRDefault="004173D6" w:rsidP="004173D6">
      <w:pPr>
        <w:spacing w:line="360" w:lineRule="auto"/>
        <w:rPr>
          <w:rFonts w:ascii="Times New Roman" w:hAnsi="Times New Roman" w:cs="Times New Roman"/>
        </w:rPr>
      </w:pPr>
      <w:r w:rsidRPr="00F1581E">
        <w:rPr>
          <w:rFonts w:ascii="Times New Roman" w:hAnsi="Times New Roman" w:cs="Times New Roman"/>
          <w:sz w:val="24"/>
          <w:szCs w:val="24"/>
        </w:rPr>
        <w:t xml:space="preserve">ORCID: 0000-0003-2802-5018 </w:t>
      </w:r>
      <w:r w:rsidRPr="00F1581E">
        <w:rPr>
          <w:rFonts w:ascii="Times New Roman" w:eastAsiaTheme="minorHAnsi" w:hAnsi="Times New Roman" w:cs="Times New Roman"/>
          <w:sz w:val="24"/>
          <w:szCs w:val="24"/>
        </w:rPr>
        <w:t>(W. Wang)</w:t>
      </w:r>
    </w:p>
    <w:p w:rsidR="00EB44C4" w:rsidRDefault="00EB44C4">
      <w:pPr>
        <w:sectPr w:rsidR="00EB44C4" w:rsidSect="00EB44C4">
          <w:headerReference w:type="default" r:id="rId6"/>
          <w:pgSz w:w="11906" w:h="16838"/>
          <w:pgMar w:top="1440" w:right="1080" w:bottom="1440" w:left="1080" w:header="851" w:footer="992" w:gutter="0"/>
          <w:cols w:space="425"/>
          <w:docGrid w:type="lines" w:linePitch="312"/>
        </w:sectPr>
      </w:pPr>
    </w:p>
    <w:p w:rsidR="00EB44C4" w:rsidRPr="00F1581E" w:rsidRDefault="00EB44C4" w:rsidP="00EB44C4">
      <w:pPr>
        <w:adjustRightInd w:val="0"/>
        <w:snapToGrid w:val="0"/>
        <w:spacing w:line="360" w:lineRule="auto"/>
        <w:rPr>
          <w:rFonts w:ascii="Times New Roman" w:hAnsi="Times New Roman" w:cs="Times New Roman"/>
          <w:sz w:val="24"/>
        </w:rPr>
      </w:pPr>
      <w:r w:rsidRPr="00F1581E">
        <w:rPr>
          <w:rFonts w:ascii="Times New Roman" w:hAnsi="Times New Roman" w:cs="Times New Roman"/>
          <w:b/>
          <w:color w:val="0070C0"/>
          <w:sz w:val="24"/>
        </w:rPr>
        <w:lastRenderedPageBreak/>
        <w:t>SUPPLEMENTARY MATERIALS</w:t>
      </w:r>
    </w:p>
    <w:p w:rsidR="00EB44C4" w:rsidRDefault="00EB44C4" w:rsidP="00EB44C4">
      <w:pPr>
        <w:tabs>
          <w:tab w:val="left" w:pos="2300"/>
        </w:tabs>
        <w:adjustRightInd w:val="0"/>
        <w:snapToGrid w:val="0"/>
        <w:spacing w:line="360" w:lineRule="auto"/>
        <w:rPr>
          <w:rFonts w:ascii="Times New Roman" w:hAnsi="Times New Roman" w:cs="Times New Roman"/>
          <w:b/>
          <w:bCs/>
          <w:szCs w:val="21"/>
        </w:rPr>
      </w:pPr>
      <w:bookmarkStart w:id="8" w:name="OLE_LINK57"/>
      <w:r w:rsidRPr="00EB44C4">
        <w:rPr>
          <w:rFonts w:ascii="Times New Roman" w:hAnsi="Times New Roman" w:cs="Times New Roman"/>
          <w:b/>
          <w:bCs/>
          <w:noProof/>
          <w:szCs w:val="21"/>
        </w:rPr>
        <w:drawing>
          <wp:inline distT="0" distB="0" distL="0" distR="0">
            <wp:extent cx="6188710" cy="6211059"/>
            <wp:effectExtent l="0" t="0" r="2540" b="0"/>
            <wp:docPr id="13" name="图片 13" descr="C:\Users\15538\Desktop\7509 R2\7509 to prod\VS7509 Fi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5538\Desktop\7509 R2\7509 to prod\VS7509 FigS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88710" cy="6211059"/>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S1. </w:t>
      </w:r>
      <w:r w:rsidRPr="00F1581E">
        <w:rPr>
          <w:rFonts w:ascii="Times New Roman" w:hAnsi="Times New Roman" w:cs="Times New Roman"/>
          <w:szCs w:val="21"/>
        </w:rPr>
        <w:t>GO enrichment analysis of genes assigned to fuzzy expression clusters. Top 10 enriched Gene Ontology (GO) terms for genes assigned to Cluster 1–Cluster 8 identified by fuzzy c-means clustering of PBMC bulk RNA-</w:t>
      </w:r>
      <w:proofErr w:type="spellStart"/>
      <w:r w:rsidRPr="00F1581E">
        <w:rPr>
          <w:rFonts w:ascii="Times New Roman" w:hAnsi="Times New Roman" w:cs="Times New Roman"/>
          <w:szCs w:val="21"/>
        </w:rPr>
        <w:t>seq</w:t>
      </w:r>
      <w:proofErr w:type="spellEnd"/>
      <w:r w:rsidRPr="00F1581E">
        <w:rPr>
          <w:rFonts w:ascii="Times New Roman" w:hAnsi="Times New Roman" w:cs="Times New Roman"/>
          <w:szCs w:val="21"/>
        </w:rPr>
        <w:t xml:space="preserve"> profiles. The x-axis indicates the rich factor, and the y-axis indicates enriched GO terms. Dot size represents the number of enriched genes, and dot color represents the enrichment </w:t>
      </w:r>
      <w:r w:rsidRPr="00F1581E">
        <w:rPr>
          <w:rFonts w:ascii="Times New Roman" w:hAnsi="Times New Roman" w:cs="Times New Roman"/>
          <w:i/>
          <w:szCs w:val="21"/>
        </w:rPr>
        <w:t>P</w:t>
      </w:r>
      <w:r w:rsidRPr="00F1581E">
        <w:rPr>
          <w:rFonts w:ascii="Times New Roman" w:hAnsi="Times New Roman" w:cs="Times New Roman"/>
          <w:szCs w:val="21"/>
        </w:rPr>
        <w:t xml:space="preserve"> value. Genes in Cluster 2 and Cluster 4 were enriched in biological terms related to intracellular organelles, cellular structures, and cellular functional processes, suggesting dynamic immune-cell transcriptional changes in dengue patients with warning signs and severe dengue.</w:t>
      </w:r>
      <w:bookmarkEnd w:id="8"/>
    </w:p>
    <w:p w:rsidR="00EB44C4" w:rsidRPr="00F1581E" w:rsidRDefault="00EB44C4" w:rsidP="00EB44C4">
      <w:pPr>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6188710" cy="6356071"/>
            <wp:effectExtent l="0" t="0" r="2540" b="6985"/>
            <wp:docPr id="12" name="图片 12" descr="C:\Users\15538\Desktop\7509 R2\7509 to prod\VS7509 Fig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5538\Desktop\7509 R2\7509 to prod\VS7509 FigS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8710" cy="6356071"/>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S2. </w:t>
      </w:r>
      <w:r w:rsidRPr="00F1581E">
        <w:rPr>
          <w:rFonts w:ascii="Times New Roman" w:hAnsi="Times New Roman" w:cs="Times New Roman"/>
          <w:szCs w:val="21"/>
        </w:rPr>
        <w:t>KEGG pathway enrichment analysis of genes assigned to fuzzy expression clusters. Top 10 enriched Kyoto Encyclopedia of Genes and Genomes (KEGG) pathways for genes assigned to Cluster 1–Cluster 8 from PBMC bulk RNA-</w:t>
      </w:r>
      <w:proofErr w:type="spellStart"/>
      <w:r w:rsidRPr="00F1581E">
        <w:rPr>
          <w:rFonts w:ascii="Times New Roman" w:hAnsi="Times New Roman" w:cs="Times New Roman"/>
          <w:szCs w:val="21"/>
        </w:rPr>
        <w:t>seq</w:t>
      </w:r>
      <w:proofErr w:type="spellEnd"/>
      <w:r w:rsidRPr="00F1581E">
        <w:rPr>
          <w:rFonts w:ascii="Times New Roman" w:hAnsi="Times New Roman" w:cs="Times New Roman"/>
          <w:szCs w:val="21"/>
        </w:rPr>
        <w:t xml:space="preserve"> profiles. The x-axis indicates the rich factor, and the y-axis indicates enriched KEGG pathways. Dot size represents the number of genes enriched in each pathway, and dot color represents the corresponding P value. The enrichment profiles reveal cluster-specific involvement of immune-related, metabolic, organelle-associated, and cellular homeostasis pathways during dengue disease progression.</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6188710" cy="4423626"/>
            <wp:effectExtent l="0" t="0" r="2540" b="0"/>
            <wp:docPr id="11" name="图片 11" descr="C:\Users\15538\Desktop\7509 R2\7509 to prod\VS7509 Fig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5538\Desktop\7509 R2\7509 to prod\VS7509 FigS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8710" cy="4423626"/>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S3. </w:t>
      </w:r>
      <w:r w:rsidRPr="00F1581E">
        <w:rPr>
          <w:rFonts w:ascii="Times New Roman" w:hAnsi="Times New Roman" w:cs="Times New Roman"/>
          <w:szCs w:val="21"/>
        </w:rPr>
        <w:t xml:space="preserve">Single-cell annotation and C1Q expression patterns in PBMCs from dengue patients. </w:t>
      </w:r>
      <w:r w:rsidRPr="00F1581E">
        <w:rPr>
          <w:rFonts w:ascii="Times New Roman" w:hAnsi="Times New Roman" w:cs="Times New Roman"/>
          <w:b/>
          <w:bCs/>
          <w:szCs w:val="21"/>
        </w:rPr>
        <w:t xml:space="preserve">A </w:t>
      </w:r>
      <w:r w:rsidRPr="00F1581E">
        <w:rPr>
          <w:rFonts w:ascii="Times New Roman" w:hAnsi="Times New Roman" w:cs="Times New Roman"/>
          <w:szCs w:val="21"/>
        </w:rPr>
        <w:t xml:space="preserve">UMAP visualization of 71,412 PBMCs from Healthy, dengue fever (D), </w:t>
      </w:r>
      <w:r w:rsidRPr="00F1581E">
        <w:rPr>
          <w:rFonts w:ascii="Times New Roman" w:hAnsi="Times New Roman" w:cs="Times New Roman"/>
        </w:rPr>
        <w:t>warning signs</w:t>
      </w:r>
      <w:r w:rsidRPr="00F1581E">
        <w:rPr>
          <w:rFonts w:ascii="Times New Roman" w:hAnsi="Times New Roman" w:cs="Times New Roman"/>
          <w:szCs w:val="21"/>
        </w:rPr>
        <w:t xml:space="preserve"> (DWS), and </w:t>
      </w:r>
      <w:r w:rsidRPr="00F1581E">
        <w:rPr>
          <w:rFonts w:ascii="Times New Roman" w:hAnsi="Times New Roman" w:cs="Times New Roman"/>
        </w:rPr>
        <w:t>severe dengue</w:t>
      </w:r>
      <w:r w:rsidRPr="00F1581E">
        <w:rPr>
          <w:rFonts w:ascii="Times New Roman" w:hAnsi="Times New Roman" w:cs="Times New Roman"/>
          <w:szCs w:val="21"/>
        </w:rPr>
        <w:t xml:space="preserve"> (SD) groups. Cells were annotated into seven major populations: NK cells, B cells, T cells, monocytes, </w:t>
      </w:r>
      <w:proofErr w:type="spellStart"/>
      <w:r w:rsidRPr="00F1581E">
        <w:rPr>
          <w:rFonts w:ascii="Times New Roman" w:hAnsi="Times New Roman" w:cs="Times New Roman"/>
          <w:szCs w:val="21"/>
        </w:rPr>
        <w:t>plasmablasts</w:t>
      </w:r>
      <w:proofErr w:type="spellEnd"/>
      <w:r w:rsidRPr="00F1581E">
        <w:rPr>
          <w:rFonts w:ascii="Times New Roman" w:hAnsi="Times New Roman" w:cs="Times New Roman"/>
          <w:szCs w:val="21"/>
        </w:rPr>
        <w:t xml:space="preserve">, DCs, and platelets. </w:t>
      </w:r>
      <w:r w:rsidRPr="00F1581E">
        <w:rPr>
          <w:rFonts w:ascii="Times New Roman" w:hAnsi="Times New Roman" w:cs="Times New Roman"/>
          <w:b/>
          <w:bCs/>
          <w:szCs w:val="21"/>
        </w:rPr>
        <w:t xml:space="preserve">B </w:t>
      </w:r>
      <w:proofErr w:type="spellStart"/>
      <w:r w:rsidRPr="00F1581E">
        <w:rPr>
          <w:rFonts w:ascii="Times New Roman" w:hAnsi="Times New Roman" w:cs="Times New Roman"/>
          <w:szCs w:val="21"/>
        </w:rPr>
        <w:t>Heatmap</w:t>
      </w:r>
      <w:proofErr w:type="spellEnd"/>
      <w:r w:rsidRPr="00F1581E">
        <w:rPr>
          <w:rFonts w:ascii="Times New Roman" w:hAnsi="Times New Roman" w:cs="Times New Roman"/>
          <w:szCs w:val="21"/>
        </w:rPr>
        <w:t xml:space="preserve"> showing the expression of representative marker genes used for PBMC cell-type annotation. </w:t>
      </w:r>
      <w:r w:rsidRPr="00F1581E">
        <w:rPr>
          <w:rFonts w:ascii="Times New Roman" w:hAnsi="Times New Roman" w:cs="Times New Roman"/>
          <w:b/>
          <w:bCs/>
          <w:szCs w:val="21"/>
        </w:rPr>
        <w:t xml:space="preserve">C </w:t>
      </w:r>
      <w:r w:rsidRPr="00F1581E">
        <w:rPr>
          <w:rFonts w:ascii="Times New Roman" w:hAnsi="Times New Roman" w:cs="Times New Roman"/>
          <w:szCs w:val="21"/>
        </w:rPr>
        <w:t xml:space="preserve">Stacked bar plots showing the proportions of annotated PBMC cell types in each individual sample from the D, DWS, Healthy, and SD groups. The number of cells analyzed in each sample is indicated below the corresponding bar. </w:t>
      </w:r>
      <w:r w:rsidRPr="00F1581E">
        <w:rPr>
          <w:rFonts w:ascii="Times New Roman" w:hAnsi="Times New Roman" w:cs="Times New Roman"/>
          <w:b/>
          <w:bCs/>
          <w:szCs w:val="21"/>
        </w:rPr>
        <w:t>D</w:t>
      </w:r>
      <w:r w:rsidRPr="00F1581E">
        <w:rPr>
          <w:rFonts w:ascii="Times New Roman" w:hAnsi="Times New Roman" w:cs="Times New Roman"/>
          <w:szCs w:val="21"/>
        </w:rPr>
        <w:t xml:space="preserve"> Feature plots showing the distribution of C1QA, C1QB, C1QC, and CFP expression on UMAP </w:t>
      </w:r>
      <w:proofErr w:type="spellStart"/>
      <w:r w:rsidRPr="00F1581E">
        <w:rPr>
          <w:rFonts w:ascii="Times New Roman" w:hAnsi="Times New Roman" w:cs="Times New Roman"/>
          <w:szCs w:val="21"/>
        </w:rPr>
        <w:t>embeddings</w:t>
      </w:r>
      <w:proofErr w:type="spellEnd"/>
      <w:r w:rsidRPr="00F1581E">
        <w:rPr>
          <w:rFonts w:ascii="Times New Roman" w:hAnsi="Times New Roman" w:cs="Times New Roman"/>
          <w:szCs w:val="21"/>
        </w:rPr>
        <w:t xml:space="preserve"> across clinical groups. </w:t>
      </w:r>
      <w:r w:rsidRPr="00F1581E">
        <w:rPr>
          <w:rFonts w:ascii="Times New Roman" w:hAnsi="Times New Roman" w:cs="Times New Roman"/>
          <w:b/>
          <w:bCs/>
          <w:szCs w:val="21"/>
        </w:rPr>
        <w:t xml:space="preserve">E </w:t>
      </w:r>
      <w:r w:rsidRPr="00F1581E">
        <w:rPr>
          <w:rFonts w:ascii="Times New Roman" w:hAnsi="Times New Roman" w:cs="Times New Roman"/>
          <w:szCs w:val="21"/>
        </w:rPr>
        <w:t xml:space="preserve">Pearson correlation </w:t>
      </w:r>
      <w:proofErr w:type="spellStart"/>
      <w:r w:rsidRPr="00F1581E">
        <w:rPr>
          <w:rFonts w:ascii="Times New Roman" w:hAnsi="Times New Roman" w:cs="Times New Roman"/>
          <w:szCs w:val="21"/>
        </w:rPr>
        <w:t>heatmap</w:t>
      </w:r>
      <w:proofErr w:type="spellEnd"/>
      <w:r w:rsidRPr="00F1581E">
        <w:rPr>
          <w:rFonts w:ascii="Times New Roman" w:hAnsi="Times New Roman" w:cs="Times New Roman"/>
          <w:szCs w:val="21"/>
        </w:rPr>
        <w:t xml:space="preserve"> showing the co-expression relationships among C1QA, C1QB, and C1QC in monocytes from dengue patients. The color scale indicates the correlation coefficient. These analyses support coordinated expression of </w:t>
      </w:r>
      <w:r w:rsidRPr="00F1581E">
        <w:rPr>
          <w:rFonts w:ascii="Times New Roman" w:hAnsi="Times New Roman" w:cs="Times New Roman"/>
          <w:i/>
          <w:szCs w:val="21"/>
        </w:rPr>
        <w:t>C1Q</w:t>
      </w:r>
      <w:r w:rsidRPr="00F1581E">
        <w:rPr>
          <w:rFonts w:ascii="Times New Roman" w:hAnsi="Times New Roman" w:cs="Times New Roman"/>
          <w:szCs w:val="21"/>
        </w:rPr>
        <w:t xml:space="preserve"> genes in monocytes during dengue progression.</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5404485" cy="3985260"/>
            <wp:effectExtent l="0" t="0" r="5715" b="0"/>
            <wp:docPr id="10" name="图片 10" descr="C:\Users\15538\Desktop\7509 R2\7509 to prod\VS7509 Fig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5538\Desktop\7509 R2\7509 to prod\VS7509 FigS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4485" cy="3985260"/>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S4. </w:t>
      </w:r>
      <w:r w:rsidRPr="00F1581E">
        <w:rPr>
          <w:rFonts w:ascii="Times New Roman" w:hAnsi="Times New Roman" w:cs="Times New Roman"/>
          <w:szCs w:val="21"/>
        </w:rPr>
        <w:t xml:space="preserve">Terminal complement/MAC-related genes are not coordinately </w:t>
      </w:r>
      <w:proofErr w:type="spellStart"/>
      <w:r w:rsidRPr="00F1581E">
        <w:rPr>
          <w:rFonts w:ascii="Times New Roman" w:hAnsi="Times New Roman" w:cs="Times New Roman"/>
          <w:szCs w:val="21"/>
        </w:rPr>
        <w:t>upregulated</w:t>
      </w:r>
      <w:proofErr w:type="spellEnd"/>
      <w:r w:rsidRPr="00F1581E">
        <w:rPr>
          <w:rFonts w:ascii="Times New Roman" w:hAnsi="Times New Roman" w:cs="Times New Roman"/>
          <w:szCs w:val="21"/>
        </w:rPr>
        <w:t xml:space="preserve"> in PBMCs from severe dengue patients. </w:t>
      </w:r>
      <w:r w:rsidRPr="00F1581E">
        <w:rPr>
          <w:rFonts w:ascii="Times New Roman" w:hAnsi="Times New Roman" w:cs="Times New Roman"/>
          <w:b/>
          <w:bCs/>
          <w:szCs w:val="21"/>
        </w:rPr>
        <w:t xml:space="preserve">A </w:t>
      </w:r>
      <w:r w:rsidRPr="00F1581E">
        <w:rPr>
          <w:rFonts w:ascii="Times New Roman" w:hAnsi="Times New Roman" w:cs="Times New Roman"/>
          <w:szCs w:val="21"/>
        </w:rPr>
        <w:t xml:space="preserve">Radar plot showing the expression patterns of terminal complement and membrane attack complex (MAC)-related genes, including C5, C8B, C8G, C9, CD59, VTN, and CLU, in Healthy, </w:t>
      </w:r>
      <w:r w:rsidRPr="00F1581E">
        <w:rPr>
          <w:rFonts w:ascii="Times New Roman" w:hAnsi="Times New Roman" w:cs="Times New Roman"/>
        </w:rPr>
        <w:t>warning signs</w:t>
      </w:r>
      <w:r w:rsidRPr="00F1581E">
        <w:rPr>
          <w:rFonts w:ascii="Times New Roman" w:hAnsi="Times New Roman" w:cs="Times New Roman"/>
          <w:szCs w:val="21"/>
        </w:rPr>
        <w:t xml:space="preserve"> (DWS), and </w:t>
      </w:r>
      <w:r w:rsidRPr="00F1581E">
        <w:rPr>
          <w:rFonts w:ascii="Times New Roman" w:hAnsi="Times New Roman" w:cs="Times New Roman"/>
        </w:rPr>
        <w:t>severe dengue</w:t>
      </w:r>
      <w:r w:rsidRPr="00F1581E">
        <w:rPr>
          <w:rFonts w:ascii="Times New Roman" w:hAnsi="Times New Roman" w:cs="Times New Roman"/>
          <w:szCs w:val="21"/>
        </w:rPr>
        <w:t xml:space="preserve"> (SD) groups based on bulk RNA-</w:t>
      </w:r>
      <w:proofErr w:type="spellStart"/>
      <w:r w:rsidRPr="00F1581E">
        <w:rPr>
          <w:rFonts w:ascii="Times New Roman" w:hAnsi="Times New Roman" w:cs="Times New Roman"/>
          <w:szCs w:val="21"/>
        </w:rPr>
        <w:t>seq</w:t>
      </w:r>
      <w:proofErr w:type="spellEnd"/>
      <w:r w:rsidRPr="00F1581E">
        <w:rPr>
          <w:rFonts w:ascii="Times New Roman" w:hAnsi="Times New Roman" w:cs="Times New Roman"/>
          <w:szCs w:val="21"/>
        </w:rPr>
        <w:t xml:space="preserve"> analysis. </w:t>
      </w:r>
      <w:r w:rsidRPr="00F1581E">
        <w:rPr>
          <w:rFonts w:ascii="Times New Roman" w:hAnsi="Times New Roman" w:cs="Times New Roman"/>
          <w:b/>
          <w:bCs/>
          <w:szCs w:val="21"/>
        </w:rPr>
        <w:t xml:space="preserve">B </w:t>
      </w:r>
      <w:r w:rsidRPr="00F1581E">
        <w:rPr>
          <w:rFonts w:ascii="Times New Roman" w:hAnsi="Times New Roman" w:cs="Times New Roman"/>
          <w:szCs w:val="21"/>
        </w:rPr>
        <w:t>FPKM values of MAC-associated genes in PBMC bulk RNA-</w:t>
      </w:r>
      <w:proofErr w:type="spellStart"/>
      <w:r w:rsidRPr="00F1581E">
        <w:rPr>
          <w:rFonts w:ascii="Times New Roman" w:hAnsi="Times New Roman" w:cs="Times New Roman"/>
          <w:szCs w:val="21"/>
        </w:rPr>
        <w:t>seq</w:t>
      </w:r>
      <w:proofErr w:type="spellEnd"/>
      <w:r w:rsidRPr="00F1581E">
        <w:rPr>
          <w:rFonts w:ascii="Times New Roman" w:hAnsi="Times New Roman" w:cs="Times New Roman"/>
          <w:szCs w:val="21"/>
        </w:rPr>
        <w:t xml:space="preserve"> samples from Healthy, DWS, and SD groups. No coordinated SD-specific transcriptional </w:t>
      </w:r>
      <w:proofErr w:type="spellStart"/>
      <w:r w:rsidRPr="00F1581E">
        <w:rPr>
          <w:rFonts w:ascii="Times New Roman" w:hAnsi="Times New Roman" w:cs="Times New Roman"/>
          <w:szCs w:val="21"/>
        </w:rPr>
        <w:t>upregulation</w:t>
      </w:r>
      <w:proofErr w:type="spellEnd"/>
      <w:r w:rsidRPr="00F1581E">
        <w:rPr>
          <w:rFonts w:ascii="Times New Roman" w:hAnsi="Times New Roman" w:cs="Times New Roman"/>
          <w:szCs w:val="21"/>
        </w:rPr>
        <w:t xml:space="preserve"> of terminal complement components or terminal complement regulators was observed. </w:t>
      </w:r>
      <w:r w:rsidRPr="00F1581E">
        <w:rPr>
          <w:rFonts w:ascii="Times New Roman" w:hAnsi="Times New Roman" w:cs="Times New Roman"/>
          <w:b/>
          <w:bCs/>
          <w:szCs w:val="21"/>
        </w:rPr>
        <w:t xml:space="preserve">C </w:t>
      </w:r>
      <w:r w:rsidRPr="00F1581E">
        <w:rPr>
          <w:rFonts w:ascii="Times New Roman" w:hAnsi="Times New Roman" w:cs="Times New Roman"/>
          <w:szCs w:val="21"/>
        </w:rPr>
        <w:t>Dot plot showing the expression of MAC-related genes across PBMC cell types and clinical groups in the single-cell RNA-</w:t>
      </w:r>
      <w:proofErr w:type="spellStart"/>
      <w:r w:rsidRPr="00F1581E">
        <w:rPr>
          <w:rFonts w:ascii="Times New Roman" w:hAnsi="Times New Roman" w:cs="Times New Roman"/>
          <w:szCs w:val="21"/>
        </w:rPr>
        <w:t>seq</w:t>
      </w:r>
      <w:proofErr w:type="spellEnd"/>
      <w:r w:rsidRPr="00F1581E">
        <w:rPr>
          <w:rFonts w:ascii="Times New Roman" w:hAnsi="Times New Roman" w:cs="Times New Roman"/>
          <w:szCs w:val="21"/>
        </w:rPr>
        <w:t xml:space="preserve"> dataset. Dot size represents the percentage of cells expressing the indicated gene, and color intensity represents the average expression level. CLU was mainly detected in platelets, whereas CD59 was prominently expressed in </w:t>
      </w:r>
      <w:proofErr w:type="spellStart"/>
      <w:r w:rsidRPr="00F1581E">
        <w:rPr>
          <w:rFonts w:ascii="Times New Roman" w:hAnsi="Times New Roman" w:cs="Times New Roman"/>
          <w:szCs w:val="21"/>
        </w:rPr>
        <w:t>plasmablasts</w:t>
      </w:r>
      <w:proofErr w:type="spellEnd"/>
      <w:r w:rsidRPr="00F1581E">
        <w:rPr>
          <w:rFonts w:ascii="Times New Roman" w:hAnsi="Times New Roman" w:cs="Times New Roman"/>
          <w:szCs w:val="21"/>
        </w:rPr>
        <w:t xml:space="preserve">. Together, these data suggest that increased MAC deposition in severe dengue is more likely associated with enhanced terminal complement activation and C5b-9 assembly rather than broad transcriptional induction of MAC-component genes in circulating immune cells. </w:t>
      </w:r>
      <w:proofErr w:type="spellStart"/>
      <w:r w:rsidRPr="00F1581E">
        <w:rPr>
          <w:rFonts w:ascii="Times New Roman" w:hAnsi="Times New Roman" w:cs="Times New Roman"/>
          <w:szCs w:val="21"/>
        </w:rPr>
        <w:t>n.s</w:t>
      </w:r>
      <w:proofErr w:type="spellEnd"/>
      <w:r w:rsidRPr="00F1581E">
        <w:rPr>
          <w:rFonts w:ascii="Times New Roman" w:hAnsi="Times New Roman" w:cs="Times New Roman"/>
          <w:szCs w:val="21"/>
        </w:rPr>
        <w:t>., not significant; *</w:t>
      </w:r>
      <w:r w:rsidRPr="00F1581E">
        <w:rPr>
          <w:rFonts w:ascii="Times New Roman" w:hAnsi="Times New Roman" w:cs="Times New Roman"/>
          <w:i/>
          <w:szCs w:val="21"/>
        </w:rPr>
        <w:t>P</w:t>
      </w:r>
      <w:r w:rsidRPr="00F1581E">
        <w:rPr>
          <w:rFonts w:ascii="Times New Roman" w:hAnsi="Times New Roman" w:cs="Times New Roman"/>
          <w:szCs w:val="21"/>
        </w:rPr>
        <w:t xml:space="preserve"> &lt; 0.05.</w:t>
      </w:r>
      <w:r w:rsidRPr="00F1581E" w:rsidDel="00626A26">
        <w:rPr>
          <w:rFonts w:ascii="Times New Roman" w:hAnsi="Times New Roman" w:cs="Times New Roman"/>
          <w:szCs w:val="21"/>
        </w:rPr>
        <w:t xml:space="preserve"> </w:t>
      </w:r>
    </w:p>
    <w:p w:rsidR="00EB44C4" w:rsidRDefault="00EB44C4" w:rsidP="00EB44C4">
      <w:pPr>
        <w:tabs>
          <w:tab w:val="left" w:pos="2300"/>
        </w:tabs>
        <w:adjustRightInd w:val="0"/>
        <w:snapToGrid w:val="0"/>
        <w:spacing w:line="360" w:lineRule="auto"/>
        <w:rPr>
          <w:rFonts w:ascii="Times New Roman" w:hAnsi="Times New Roman" w:cs="Times New Roman"/>
          <w:szCs w:val="21"/>
        </w:rPr>
        <w:sectPr w:rsidR="00EB44C4" w:rsidSect="00EB44C4">
          <w:pgSz w:w="11906" w:h="16838"/>
          <w:pgMar w:top="1440" w:right="1080" w:bottom="1440" w:left="1080" w:header="851" w:footer="992" w:gutter="0"/>
          <w:cols w:space="425"/>
          <w:docGrid w:type="lines" w:linePitch="312"/>
        </w:sectPr>
      </w:pP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7410203" cy="5938992"/>
            <wp:effectExtent l="0" t="0" r="635" b="5080"/>
            <wp:docPr id="9" name="图片 9" descr="C:\Users\15538\Desktop\7509 R2\7509 to prod\VS7509 Fig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5538\Desktop\7509 R2\7509 to prod\VS7509 FigS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14513" cy="5942446"/>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lastRenderedPageBreak/>
        <w:t xml:space="preserve">Supplementary Fig. S5. </w:t>
      </w:r>
      <w:r w:rsidRPr="00F1581E">
        <w:rPr>
          <w:rFonts w:ascii="Times New Roman" w:hAnsi="Times New Roman" w:cs="Times New Roman"/>
          <w:szCs w:val="21"/>
        </w:rPr>
        <w:t xml:space="preserve">Extended </w:t>
      </w:r>
      <w:proofErr w:type="spellStart"/>
      <w:r w:rsidRPr="00F1581E">
        <w:rPr>
          <w:rFonts w:ascii="Times New Roman" w:hAnsi="Times New Roman" w:cs="Times New Roman"/>
          <w:szCs w:val="21"/>
        </w:rPr>
        <w:t>transcriptomic</w:t>
      </w:r>
      <w:proofErr w:type="spellEnd"/>
      <w:r w:rsidRPr="00F1581E">
        <w:rPr>
          <w:rFonts w:ascii="Times New Roman" w:hAnsi="Times New Roman" w:cs="Times New Roman"/>
          <w:szCs w:val="21"/>
        </w:rPr>
        <w:t xml:space="preserve"> clustering and </w:t>
      </w:r>
      <w:proofErr w:type="spellStart"/>
      <w:r w:rsidRPr="00F1581E">
        <w:rPr>
          <w:rFonts w:ascii="Times New Roman" w:hAnsi="Times New Roman" w:cs="Times New Roman"/>
          <w:szCs w:val="21"/>
        </w:rPr>
        <w:t>CellChat</w:t>
      </w:r>
      <w:proofErr w:type="spellEnd"/>
      <w:r w:rsidRPr="00F1581E">
        <w:rPr>
          <w:rFonts w:ascii="Times New Roman" w:hAnsi="Times New Roman" w:cs="Times New Roman"/>
          <w:szCs w:val="21"/>
        </w:rPr>
        <w:t xml:space="preserve"> analysis of PBMCs and monocytes during dengue progression. </w:t>
      </w:r>
      <w:r w:rsidRPr="00F1581E">
        <w:rPr>
          <w:rFonts w:ascii="Times New Roman" w:hAnsi="Times New Roman" w:cs="Times New Roman"/>
          <w:b/>
          <w:bCs/>
          <w:szCs w:val="21"/>
        </w:rPr>
        <w:t xml:space="preserve">A, B </w:t>
      </w:r>
      <w:proofErr w:type="spellStart"/>
      <w:r w:rsidRPr="00F1581E">
        <w:rPr>
          <w:rFonts w:ascii="Times New Roman" w:hAnsi="Times New Roman" w:cs="Times New Roman"/>
          <w:szCs w:val="21"/>
        </w:rPr>
        <w:t>Heatmaps</w:t>
      </w:r>
      <w:proofErr w:type="spellEnd"/>
      <w:r w:rsidRPr="00F1581E">
        <w:rPr>
          <w:rFonts w:ascii="Times New Roman" w:hAnsi="Times New Roman" w:cs="Times New Roman"/>
          <w:szCs w:val="21"/>
        </w:rPr>
        <w:t xml:space="preserve"> showing the top 100 significant DEGs identified by </w:t>
      </w:r>
      <w:proofErr w:type="spellStart"/>
      <w:r w:rsidRPr="00F1581E">
        <w:rPr>
          <w:rFonts w:ascii="Times New Roman" w:hAnsi="Times New Roman" w:cs="Times New Roman"/>
          <w:szCs w:val="21"/>
        </w:rPr>
        <w:t>ClusterGVis</w:t>
      </w:r>
      <w:proofErr w:type="spellEnd"/>
      <w:r w:rsidRPr="00F1581E">
        <w:rPr>
          <w:rFonts w:ascii="Times New Roman" w:hAnsi="Times New Roman" w:cs="Times New Roman"/>
          <w:szCs w:val="21"/>
        </w:rPr>
        <w:t xml:space="preserve"> analysis in PBMCs (</w:t>
      </w:r>
      <w:r w:rsidRPr="00F1581E">
        <w:rPr>
          <w:rFonts w:ascii="Times New Roman" w:hAnsi="Times New Roman" w:cs="Times New Roman"/>
          <w:b/>
          <w:bCs/>
          <w:szCs w:val="21"/>
        </w:rPr>
        <w:t>A</w:t>
      </w:r>
      <w:r w:rsidRPr="00F1581E">
        <w:rPr>
          <w:rFonts w:ascii="Times New Roman" w:hAnsi="Times New Roman" w:cs="Times New Roman"/>
          <w:szCs w:val="21"/>
        </w:rPr>
        <w:t>)</w:t>
      </w:r>
      <w:r w:rsidRPr="00F1581E">
        <w:rPr>
          <w:rFonts w:ascii="Times New Roman" w:hAnsi="Times New Roman" w:cs="Times New Roman"/>
          <w:b/>
          <w:bCs/>
          <w:szCs w:val="21"/>
        </w:rPr>
        <w:t xml:space="preserve"> </w:t>
      </w:r>
      <w:r w:rsidRPr="00F1581E">
        <w:rPr>
          <w:rFonts w:ascii="Times New Roman" w:hAnsi="Times New Roman" w:cs="Times New Roman"/>
          <w:szCs w:val="21"/>
        </w:rPr>
        <w:t>and monocytes (</w:t>
      </w:r>
      <w:r w:rsidRPr="00F1581E">
        <w:rPr>
          <w:rFonts w:ascii="Times New Roman" w:hAnsi="Times New Roman" w:cs="Times New Roman"/>
          <w:b/>
          <w:bCs/>
          <w:szCs w:val="21"/>
        </w:rPr>
        <w:t>B</w:t>
      </w:r>
      <w:r w:rsidRPr="00F1581E">
        <w:rPr>
          <w:rFonts w:ascii="Times New Roman" w:hAnsi="Times New Roman" w:cs="Times New Roman"/>
          <w:szCs w:val="21"/>
        </w:rPr>
        <w:t xml:space="preserve">) from Healthy, dengue fever (D), </w:t>
      </w:r>
      <w:r w:rsidRPr="00F1581E">
        <w:rPr>
          <w:rFonts w:ascii="Times New Roman" w:hAnsi="Times New Roman" w:cs="Times New Roman"/>
        </w:rPr>
        <w:t>warning signs</w:t>
      </w:r>
      <w:r w:rsidRPr="00F1581E">
        <w:rPr>
          <w:rFonts w:ascii="Times New Roman" w:hAnsi="Times New Roman" w:cs="Times New Roman"/>
          <w:szCs w:val="21"/>
        </w:rPr>
        <w:t xml:space="preserve"> (DWS), and </w:t>
      </w:r>
      <w:r w:rsidRPr="00F1581E">
        <w:rPr>
          <w:rFonts w:ascii="Times New Roman" w:hAnsi="Times New Roman" w:cs="Times New Roman"/>
        </w:rPr>
        <w:t>severe dengue</w:t>
      </w:r>
      <w:r w:rsidRPr="00F1581E">
        <w:rPr>
          <w:rFonts w:ascii="Times New Roman" w:hAnsi="Times New Roman" w:cs="Times New Roman"/>
          <w:szCs w:val="21"/>
        </w:rPr>
        <w:t xml:space="preserve"> (SD) groups. Genes were divided into four clusters according to their stage-associated expression patterns. Representative genes are labeled on the right side of each </w:t>
      </w:r>
      <w:proofErr w:type="spellStart"/>
      <w:r w:rsidRPr="00F1581E">
        <w:rPr>
          <w:rFonts w:ascii="Times New Roman" w:hAnsi="Times New Roman" w:cs="Times New Roman"/>
          <w:szCs w:val="21"/>
        </w:rPr>
        <w:t>heatmap</w:t>
      </w:r>
      <w:proofErr w:type="spellEnd"/>
      <w:r w:rsidRPr="00F1581E">
        <w:rPr>
          <w:rFonts w:ascii="Times New Roman" w:hAnsi="Times New Roman" w:cs="Times New Roman"/>
          <w:szCs w:val="21"/>
        </w:rPr>
        <w:t xml:space="preserve">, and color represents the scaled expression Z score. </w:t>
      </w:r>
      <w:r w:rsidRPr="00F1581E">
        <w:rPr>
          <w:rFonts w:ascii="Times New Roman" w:hAnsi="Times New Roman" w:cs="Times New Roman"/>
          <w:b/>
          <w:bCs/>
          <w:szCs w:val="21"/>
        </w:rPr>
        <w:t>C–F</w:t>
      </w:r>
      <w:r w:rsidRPr="00F1581E">
        <w:rPr>
          <w:rFonts w:ascii="Times New Roman" w:hAnsi="Times New Roman" w:cs="Times New Roman"/>
          <w:szCs w:val="21"/>
        </w:rPr>
        <w:t xml:space="preserve"> Circle plots showing the global </w:t>
      </w:r>
      <w:proofErr w:type="spellStart"/>
      <w:r w:rsidRPr="00F1581E">
        <w:rPr>
          <w:rFonts w:ascii="Times New Roman" w:hAnsi="Times New Roman" w:cs="Times New Roman"/>
          <w:szCs w:val="21"/>
        </w:rPr>
        <w:t>CellChat</w:t>
      </w:r>
      <w:proofErr w:type="spellEnd"/>
      <w:r w:rsidRPr="00F1581E">
        <w:rPr>
          <w:rFonts w:ascii="Times New Roman" w:hAnsi="Times New Roman" w:cs="Times New Roman"/>
          <w:szCs w:val="21"/>
        </w:rPr>
        <w:t>-inferred intercellular communication networks among major PBMC populations in Healthy (</w:t>
      </w:r>
      <w:r w:rsidRPr="00F1581E">
        <w:rPr>
          <w:rFonts w:ascii="Times New Roman" w:hAnsi="Times New Roman" w:cs="Times New Roman"/>
          <w:b/>
          <w:bCs/>
          <w:szCs w:val="21"/>
        </w:rPr>
        <w:t>C</w:t>
      </w:r>
      <w:r w:rsidRPr="00F1581E">
        <w:rPr>
          <w:rFonts w:ascii="Times New Roman" w:hAnsi="Times New Roman" w:cs="Times New Roman"/>
          <w:szCs w:val="21"/>
        </w:rPr>
        <w:t>), D (</w:t>
      </w:r>
      <w:r w:rsidRPr="00F1581E">
        <w:rPr>
          <w:rFonts w:ascii="Times New Roman" w:hAnsi="Times New Roman" w:cs="Times New Roman"/>
          <w:b/>
          <w:bCs/>
          <w:szCs w:val="21"/>
        </w:rPr>
        <w:t>D</w:t>
      </w:r>
      <w:r w:rsidRPr="00F1581E">
        <w:rPr>
          <w:rFonts w:ascii="Times New Roman" w:hAnsi="Times New Roman" w:cs="Times New Roman"/>
          <w:szCs w:val="21"/>
        </w:rPr>
        <w:t>), DWS (</w:t>
      </w:r>
      <w:r w:rsidRPr="00F1581E">
        <w:rPr>
          <w:rFonts w:ascii="Times New Roman" w:hAnsi="Times New Roman" w:cs="Times New Roman"/>
          <w:b/>
          <w:bCs/>
          <w:szCs w:val="21"/>
        </w:rPr>
        <w:t>E</w:t>
      </w:r>
      <w:r w:rsidRPr="00F1581E">
        <w:rPr>
          <w:rFonts w:ascii="Times New Roman" w:hAnsi="Times New Roman" w:cs="Times New Roman"/>
          <w:szCs w:val="21"/>
        </w:rPr>
        <w:t>), and SD (</w:t>
      </w:r>
      <w:r w:rsidRPr="00F1581E">
        <w:rPr>
          <w:rFonts w:ascii="Times New Roman" w:hAnsi="Times New Roman" w:cs="Times New Roman"/>
          <w:b/>
          <w:szCs w:val="21"/>
        </w:rPr>
        <w:t>F</w:t>
      </w:r>
      <w:r w:rsidRPr="00F1581E">
        <w:rPr>
          <w:rFonts w:ascii="Times New Roman" w:hAnsi="Times New Roman" w:cs="Times New Roman"/>
          <w:szCs w:val="21"/>
        </w:rPr>
        <w:t xml:space="preserve">) groups. In DWS and SD groups, monocytes were separated into C1Q-high and C1Q-low subsets. Edge thickness represents the strength or number of inferred ligand–receptor interactions between cell populations. </w:t>
      </w:r>
      <w:r w:rsidRPr="00F1581E">
        <w:rPr>
          <w:rFonts w:ascii="Times New Roman" w:hAnsi="Times New Roman" w:cs="Times New Roman"/>
          <w:b/>
          <w:bCs/>
          <w:szCs w:val="21"/>
        </w:rPr>
        <w:t xml:space="preserve">G–J </w:t>
      </w:r>
      <w:r w:rsidRPr="00F1581E">
        <w:rPr>
          <w:rFonts w:ascii="Times New Roman" w:hAnsi="Times New Roman" w:cs="Times New Roman"/>
          <w:szCs w:val="21"/>
        </w:rPr>
        <w:t>Scatter plots showing outgoing and incoming interaction strengths of each cell population in Healthy (</w:t>
      </w:r>
      <w:r w:rsidRPr="00F1581E">
        <w:rPr>
          <w:rFonts w:ascii="Times New Roman" w:hAnsi="Times New Roman" w:cs="Times New Roman"/>
          <w:b/>
          <w:bCs/>
          <w:szCs w:val="21"/>
        </w:rPr>
        <w:t>G</w:t>
      </w:r>
      <w:r w:rsidRPr="00F1581E">
        <w:rPr>
          <w:rFonts w:ascii="Times New Roman" w:hAnsi="Times New Roman" w:cs="Times New Roman"/>
          <w:szCs w:val="21"/>
        </w:rPr>
        <w:t>), D (</w:t>
      </w:r>
      <w:r w:rsidRPr="00F1581E">
        <w:rPr>
          <w:rFonts w:ascii="Times New Roman" w:hAnsi="Times New Roman" w:cs="Times New Roman"/>
          <w:b/>
          <w:bCs/>
          <w:szCs w:val="21"/>
        </w:rPr>
        <w:t>H</w:t>
      </w:r>
      <w:r w:rsidRPr="00F1581E">
        <w:rPr>
          <w:rFonts w:ascii="Times New Roman" w:hAnsi="Times New Roman" w:cs="Times New Roman"/>
          <w:szCs w:val="21"/>
        </w:rPr>
        <w:t>), DWS (</w:t>
      </w:r>
      <w:r w:rsidRPr="00F1581E">
        <w:rPr>
          <w:rFonts w:ascii="Times New Roman" w:hAnsi="Times New Roman" w:cs="Times New Roman"/>
          <w:b/>
          <w:bCs/>
          <w:szCs w:val="21"/>
        </w:rPr>
        <w:t>I</w:t>
      </w:r>
      <w:r w:rsidRPr="00F1581E">
        <w:rPr>
          <w:rFonts w:ascii="Times New Roman" w:hAnsi="Times New Roman" w:cs="Times New Roman"/>
          <w:szCs w:val="21"/>
        </w:rPr>
        <w:t>), and SD (</w:t>
      </w:r>
      <w:r w:rsidRPr="00F1581E">
        <w:rPr>
          <w:rFonts w:ascii="Times New Roman" w:hAnsi="Times New Roman" w:cs="Times New Roman"/>
          <w:b/>
          <w:bCs/>
          <w:szCs w:val="21"/>
        </w:rPr>
        <w:t>J</w:t>
      </w:r>
      <w:r w:rsidRPr="00F1581E">
        <w:rPr>
          <w:rFonts w:ascii="Times New Roman" w:hAnsi="Times New Roman" w:cs="Times New Roman"/>
          <w:szCs w:val="21"/>
        </w:rPr>
        <w:t>) groups. Dot size represents the number of inferred interactions. C1Q-high monocytes showed prominent incoming and outgoing interaction strengths in DWS and SD groups, supporting their central position in the dengue-associated immune communication network.</w:t>
      </w:r>
    </w:p>
    <w:p w:rsidR="00EB44C4" w:rsidRDefault="00EB44C4" w:rsidP="00EB44C4">
      <w:pPr>
        <w:tabs>
          <w:tab w:val="left" w:pos="2300"/>
        </w:tabs>
        <w:adjustRightInd w:val="0"/>
        <w:snapToGrid w:val="0"/>
        <w:spacing w:line="360" w:lineRule="auto"/>
        <w:rPr>
          <w:rFonts w:ascii="Times New Roman" w:hAnsi="Times New Roman" w:cs="Times New Roman"/>
          <w:szCs w:val="21"/>
        </w:rPr>
        <w:sectPr w:rsidR="00EB44C4" w:rsidSect="00EB44C4">
          <w:pgSz w:w="16838" w:h="11906" w:orient="landscape"/>
          <w:pgMar w:top="1080" w:right="1440" w:bottom="1080" w:left="1440" w:header="851" w:footer="992" w:gutter="0"/>
          <w:cols w:space="425"/>
          <w:docGrid w:type="lines" w:linePitch="312"/>
        </w:sectPr>
      </w:pP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6127750" cy="5486400"/>
            <wp:effectExtent l="0" t="0" r="6350" b="0"/>
            <wp:docPr id="8" name="图片 8" descr="C:\Users\15538\Desktop\7509 R2\7509 to prod\VS7509 Fig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5538\Desktop\7509 R2\7509 to prod\VS7509 FigS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7750" cy="5486400"/>
                    </a:xfrm>
                    <a:prstGeom prst="rect">
                      <a:avLst/>
                    </a:prstGeom>
                    <a:noFill/>
                    <a:ln>
                      <a:noFill/>
                    </a:ln>
                  </pic:spPr>
                </pic:pic>
              </a:graphicData>
            </a:graphic>
          </wp:inline>
        </w:drawing>
      </w:r>
      <w:bookmarkStart w:id="9" w:name="_GoBack"/>
      <w:bookmarkEnd w:id="9"/>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S6. </w:t>
      </w:r>
      <w:r w:rsidRPr="00F1581E">
        <w:rPr>
          <w:rFonts w:ascii="Times New Roman" w:hAnsi="Times New Roman" w:cs="Times New Roman"/>
          <w:szCs w:val="21"/>
        </w:rPr>
        <w:t xml:space="preserve">C1Q-high monocytes mediate disease-stage-specific signaling pathways in dengue patients. </w:t>
      </w:r>
      <w:r w:rsidRPr="00F1581E">
        <w:rPr>
          <w:rFonts w:ascii="Times New Roman" w:hAnsi="Times New Roman" w:cs="Times New Roman"/>
          <w:b/>
          <w:bCs/>
          <w:szCs w:val="21"/>
        </w:rPr>
        <w:t xml:space="preserve">A </w:t>
      </w:r>
      <w:r w:rsidRPr="00F1581E">
        <w:rPr>
          <w:rFonts w:ascii="Times New Roman" w:hAnsi="Times New Roman" w:cs="Times New Roman"/>
          <w:szCs w:val="21"/>
        </w:rPr>
        <w:t xml:space="preserve">Venn diagram showing shared and disease-stage-specific signaling pathways inferred by </w:t>
      </w:r>
      <w:proofErr w:type="spellStart"/>
      <w:r w:rsidRPr="00F1581E">
        <w:rPr>
          <w:rFonts w:ascii="Times New Roman" w:hAnsi="Times New Roman" w:cs="Times New Roman"/>
          <w:szCs w:val="21"/>
        </w:rPr>
        <w:t>CellChat</w:t>
      </w:r>
      <w:proofErr w:type="spellEnd"/>
      <w:r w:rsidRPr="00F1581E">
        <w:rPr>
          <w:rFonts w:ascii="Times New Roman" w:hAnsi="Times New Roman" w:cs="Times New Roman"/>
          <w:szCs w:val="21"/>
        </w:rPr>
        <w:t xml:space="preserve"> in Healthy, dengue fever (D), </w:t>
      </w:r>
      <w:r w:rsidRPr="00F1581E">
        <w:rPr>
          <w:rFonts w:ascii="Times New Roman" w:hAnsi="Times New Roman" w:cs="Times New Roman"/>
        </w:rPr>
        <w:t>warning signs</w:t>
      </w:r>
      <w:r w:rsidRPr="00F1581E">
        <w:rPr>
          <w:rFonts w:ascii="Times New Roman" w:hAnsi="Times New Roman" w:cs="Times New Roman"/>
          <w:szCs w:val="21"/>
        </w:rPr>
        <w:t xml:space="preserve"> (DWS), and </w:t>
      </w:r>
      <w:r w:rsidRPr="00F1581E">
        <w:rPr>
          <w:rFonts w:ascii="Times New Roman" w:hAnsi="Times New Roman" w:cs="Times New Roman"/>
        </w:rPr>
        <w:t>severe dengue</w:t>
      </w:r>
      <w:r w:rsidRPr="00F1581E">
        <w:rPr>
          <w:rFonts w:ascii="Times New Roman" w:hAnsi="Times New Roman" w:cs="Times New Roman"/>
          <w:szCs w:val="21"/>
        </w:rPr>
        <w:t xml:space="preserve"> (SD) groups. The SN signaling pathway was specifically identified in DWS patients, whereas RESISTIN, IL1, BAG, and BTLA signaling pathways were uniquely detected in SD patients. </w:t>
      </w:r>
      <w:r w:rsidRPr="00F1581E">
        <w:rPr>
          <w:rFonts w:ascii="Times New Roman" w:hAnsi="Times New Roman" w:cs="Times New Roman"/>
          <w:b/>
          <w:bCs/>
          <w:szCs w:val="21"/>
        </w:rPr>
        <w:t xml:space="preserve">B–D </w:t>
      </w:r>
      <w:proofErr w:type="spellStart"/>
      <w:r w:rsidRPr="00F1581E">
        <w:rPr>
          <w:rFonts w:ascii="Times New Roman" w:hAnsi="Times New Roman" w:cs="Times New Roman"/>
          <w:szCs w:val="21"/>
        </w:rPr>
        <w:t>Heatmaps</w:t>
      </w:r>
      <w:proofErr w:type="spellEnd"/>
      <w:r w:rsidRPr="00F1581E">
        <w:rPr>
          <w:rFonts w:ascii="Times New Roman" w:hAnsi="Times New Roman" w:cs="Times New Roman"/>
          <w:szCs w:val="21"/>
        </w:rPr>
        <w:t xml:space="preserve"> showing the inferred roles of each immune cell population as sender, receiver, mediator, and influencer in the SN signaling pathway in DWS patients (</w:t>
      </w:r>
      <w:r w:rsidRPr="00F1581E">
        <w:rPr>
          <w:rFonts w:ascii="Times New Roman" w:hAnsi="Times New Roman" w:cs="Times New Roman"/>
          <w:b/>
          <w:bCs/>
          <w:szCs w:val="21"/>
        </w:rPr>
        <w:t>B</w:t>
      </w:r>
      <w:r w:rsidRPr="00F1581E">
        <w:rPr>
          <w:rFonts w:ascii="Times New Roman" w:hAnsi="Times New Roman" w:cs="Times New Roman"/>
          <w:szCs w:val="21"/>
        </w:rPr>
        <w:t>), the RESISTIN signaling pathway in SD patients</w:t>
      </w:r>
      <w:r w:rsidRPr="00F1581E">
        <w:rPr>
          <w:rFonts w:ascii="Times New Roman" w:hAnsi="Times New Roman" w:cs="Times New Roman"/>
          <w:b/>
          <w:bCs/>
          <w:szCs w:val="21"/>
        </w:rPr>
        <w:t xml:space="preserve"> </w:t>
      </w:r>
      <w:r w:rsidRPr="00F1581E">
        <w:rPr>
          <w:rFonts w:ascii="Times New Roman" w:hAnsi="Times New Roman" w:cs="Times New Roman"/>
          <w:szCs w:val="21"/>
        </w:rPr>
        <w:t>(</w:t>
      </w:r>
      <w:r w:rsidRPr="00F1581E">
        <w:rPr>
          <w:rFonts w:ascii="Times New Roman" w:hAnsi="Times New Roman" w:cs="Times New Roman"/>
          <w:b/>
          <w:bCs/>
          <w:szCs w:val="21"/>
        </w:rPr>
        <w:t>C</w:t>
      </w:r>
      <w:r w:rsidRPr="00F1581E">
        <w:rPr>
          <w:rFonts w:ascii="Times New Roman" w:hAnsi="Times New Roman" w:cs="Times New Roman"/>
          <w:szCs w:val="21"/>
        </w:rPr>
        <w:t>), and the IL1 signaling pathway in SD patients (</w:t>
      </w:r>
      <w:r w:rsidRPr="00F1581E">
        <w:rPr>
          <w:rFonts w:ascii="Times New Roman" w:hAnsi="Times New Roman" w:cs="Times New Roman"/>
          <w:b/>
          <w:bCs/>
          <w:szCs w:val="21"/>
        </w:rPr>
        <w:t>D</w:t>
      </w:r>
      <w:r w:rsidRPr="00F1581E">
        <w:rPr>
          <w:rFonts w:ascii="Times New Roman" w:hAnsi="Times New Roman" w:cs="Times New Roman"/>
          <w:szCs w:val="21"/>
        </w:rPr>
        <w:t xml:space="preserve">). Color intensity indicates the relative importance score. C1Q-high monocytes showed prominent sender and/or mediator activities in these disease-stage-specific pathways. </w:t>
      </w:r>
      <w:r w:rsidRPr="00F1581E">
        <w:rPr>
          <w:rFonts w:ascii="Times New Roman" w:hAnsi="Times New Roman" w:cs="Times New Roman"/>
          <w:b/>
          <w:bCs/>
          <w:szCs w:val="21"/>
        </w:rPr>
        <w:t xml:space="preserve">E–G </w:t>
      </w:r>
      <w:r w:rsidRPr="00F1581E">
        <w:rPr>
          <w:rFonts w:ascii="Times New Roman" w:hAnsi="Times New Roman" w:cs="Times New Roman"/>
          <w:szCs w:val="21"/>
        </w:rPr>
        <w:t xml:space="preserve">Violin plots showing the expression of representative ligand–receptor genes involved in the SN pathway, including SIGLEC1 and SPN </w:t>
      </w:r>
      <w:r w:rsidRPr="00F1581E">
        <w:rPr>
          <w:rFonts w:ascii="Times New Roman" w:hAnsi="Times New Roman" w:cs="Times New Roman"/>
          <w:bCs/>
          <w:szCs w:val="21"/>
        </w:rPr>
        <w:t>(</w:t>
      </w:r>
      <w:r w:rsidRPr="00F1581E">
        <w:rPr>
          <w:rFonts w:ascii="Times New Roman" w:hAnsi="Times New Roman" w:cs="Times New Roman"/>
          <w:b/>
          <w:bCs/>
          <w:szCs w:val="21"/>
        </w:rPr>
        <w:t>E</w:t>
      </w:r>
      <w:r w:rsidRPr="00F1581E">
        <w:rPr>
          <w:rFonts w:ascii="Times New Roman" w:hAnsi="Times New Roman" w:cs="Times New Roman"/>
          <w:bCs/>
          <w:szCs w:val="21"/>
        </w:rPr>
        <w:t>)</w:t>
      </w:r>
      <w:r w:rsidRPr="00F1581E">
        <w:rPr>
          <w:rFonts w:ascii="Times New Roman" w:hAnsi="Times New Roman" w:cs="Times New Roman"/>
          <w:szCs w:val="21"/>
        </w:rPr>
        <w:t>, the RESISTIN pathway, including RETN and CAP1</w:t>
      </w:r>
      <w:r w:rsidRPr="00F1581E">
        <w:rPr>
          <w:rFonts w:ascii="Times New Roman" w:hAnsi="Times New Roman" w:cs="Times New Roman"/>
          <w:b/>
          <w:bCs/>
          <w:szCs w:val="21"/>
        </w:rPr>
        <w:t xml:space="preserve"> (F)</w:t>
      </w:r>
      <w:r w:rsidRPr="00F1581E">
        <w:rPr>
          <w:rFonts w:ascii="Times New Roman" w:hAnsi="Times New Roman" w:cs="Times New Roman"/>
          <w:szCs w:val="21"/>
        </w:rPr>
        <w:t xml:space="preserve">, and the IL1 pathway, including IL1B and IL1R2 </w:t>
      </w:r>
      <w:r w:rsidRPr="00F1581E">
        <w:rPr>
          <w:rFonts w:ascii="Times New Roman" w:hAnsi="Times New Roman" w:cs="Times New Roman"/>
          <w:bCs/>
          <w:szCs w:val="21"/>
        </w:rPr>
        <w:t>(</w:t>
      </w:r>
      <w:r w:rsidRPr="00F1581E">
        <w:rPr>
          <w:rFonts w:ascii="Times New Roman" w:hAnsi="Times New Roman" w:cs="Times New Roman"/>
          <w:b/>
          <w:bCs/>
          <w:szCs w:val="21"/>
        </w:rPr>
        <w:t>G</w:t>
      </w:r>
      <w:r w:rsidRPr="00F1581E">
        <w:rPr>
          <w:rFonts w:ascii="Times New Roman" w:hAnsi="Times New Roman" w:cs="Times New Roman"/>
          <w:bCs/>
          <w:szCs w:val="21"/>
        </w:rPr>
        <w:t>)</w:t>
      </w:r>
      <w:r w:rsidRPr="00F1581E">
        <w:rPr>
          <w:rFonts w:ascii="Times New Roman" w:hAnsi="Times New Roman" w:cs="Times New Roman"/>
          <w:szCs w:val="21"/>
        </w:rPr>
        <w:t>, across immune cell populations. C1Q-high monocytes were the dominant source of IL1B expression in the IL1 signaling pathway, suggesting that this subset may contribute to the inflammatory immune microenvironment in severe dengue. Abbreviations: PBMCs, peripheral blood mononuclear cells; D, dengue fever; DWS, dengue with warning signs; SD, severe dengue; GO, Gene Ontology; DEGs, differentially expressed genes.</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4681220" cy="3630295"/>
            <wp:effectExtent l="0" t="0" r="5080" b="8255"/>
            <wp:docPr id="7" name="图片 7" descr="C:\Users\15538\Desktop\7509 R2\7509 to prod\VS7509 Fig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5538\Desktop\7509 R2\7509 to prod\VS7509 FigS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1220" cy="3630295"/>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S7. </w:t>
      </w:r>
      <w:r w:rsidRPr="00F1581E">
        <w:rPr>
          <w:rFonts w:ascii="Times New Roman" w:hAnsi="Times New Roman" w:cs="Times New Roman"/>
          <w:szCs w:val="21"/>
        </w:rPr>
        <w:t>C1INH treatment attenuates disease progression in DENV2-infected IFNAR</w:t>
      </w:r>
      <w:r w:rsidRPr="00F1581E">
        <w:rPr>
          <w:rFonts w:ascii="Times New Roman" w:hAnsi="Times New Roman" w:cs="Times New Roman"/>
          <w:szCs w:val="21"/>
          <w:vertAlign w:val="superscript"/>
        </w:rPr>
        <w:t>−/−</w:t>
      </w:r>
      <w:r w:rsidRPr="00F1581E">
        <w:rPr>
          <w:rFonts w:ascii="Times New Roman" w:hAnsi="Times New Roman" w:cs="Times New Roman"/>
          <w:szCs w:val="21"/>
        </w:rPr>
        <w:t xml:space="preserve"> mice. </w:t>
      </w:r>
      <w:proofErr w:type="gramStart"/>
      <w:r w:rsidRPr="00F1581E">
        <w:rPr>
          <w:rFonts w:ascii="Times New Roman" w:hAnsi="Times New Roman" w:cs="Times New Roman"/>
          <w:b/>
          <w:bCs/>
          <w:szCs w:val="21"/>
        </w:rPr>
        <w:t>A</w:t>
      </w:r>
      <w:proofErr w:type="gramEnd"/>
      <w:r w:rsidRPr="00F1581E">
        <w:rPr>
          <w:rFonts w:ascii="Times New Roman" w:hAnsi="Times New Roman" w:cs="Times New Roman"/>
          <w:b/>
          <w:bCs/>
          <w:szCs w:val="21"/>
        </w:rPr>
        <w:t xml:space="preserve"> </w:t>
      </w:r>
      <w:r w:rsidRPr="00F1581E">
        <w:rPr>
          <w:rFonts w:ascii="Times New Roman" w:hAnsi="Times New Roman" w:cs="Times New Roman"/>
          <w:szCs w:val="21"/>
        </w:rPr>
        <w:t>Average body weight changes in Mock, DENV2-infected, and C1INH-treated DENV2-infected mice after infection. Body weight is shown as the percentage relative to baseline (n = 6 mice for each group).</w:t>
      </w:r>
      <w:r w:rsidRPr="00F1581E">
        <w:rPr>
          <w:rFonts w:ascii="Times New Roman" w:hAnsi="Times New Roman" w:cs="Times New Roman"/>
          <w:b/>
          <w:bCs/>
          <w:szCs w:val="21"/>
        </w:rPr>
        <w:t xml:space="preserve"> B </w:t>
      </w:r>
      <w:r w:rsidRPr="00F1581E">
        <w:rPr>
          <w:rFonts w:ascii="Times New Roman" w:hAnsi="Times New Roman" w:cs="Times New Roman"/>
          <w:szCs w:val="21"/>
        </w:rPr>
        <w:t xml:space="preserve">Clinical symptom scores of mice in each group during the course of infection (n = 6 mice for each group). </w:t>
      </w:r>
      <w:r w:rsidRPr="00F1581E">
        <w:rPr>
          <w:rFonts w:ascii="Times New Roman" w:hAnsi="Times New Roman" w:cs="Times New Roman"/>
          <w:b/>
          <w:bCs/>
          <w:szCs w:val="21"/>
        </w:rPr>
        <w:t xml:space="preserve">C </w:t>
      </w:r>
      <w:r w:rsidRPr="00F1581E">
        <w:rPr>
          <w:rFonts w:ascii="Times New Roman" w:hAnsi="Times New Roman" w:cs="Times New Roman"/>
          <w:szCs w:val="21"/>
        </w:rPr>
        <w:t>Kaplan-Meier survival curves of Mock, DENV2-infected, and C1INH-treated DENV2-infected mice (n = 6 mice for each group). Data are presented as mean ± SEM. Statistical significance is indicated in the figure. **</w:t>
      </w:r>
      <w:r w:rsidRPr="00F1581E">
        <w:rPr>
          <w:rFonts w:ascii="Times New Roman" w:hAnsi="Times New Roman" w:cs="Times New Roman"/>
          <w:i/>
          <w:szCs w:val="21"/>
        </w:rPr>
        <w:t xml:space="preserve">P </w:t>
      </w:r>
      <w:r w:rsidRPr="00F1581E">
        <w:rPr>
          <w:rFonts w:ascii="Times New Roman" w:hAnsi="Times New Roman" w:cs="Times New Roman"/>
          <w:szCs w:val="21"/>
        </w:rPr>
        <w:t>&lt; 0.01.</w:t>
      </w:r>
    </w:p>
    <w:p w:rsidR="00EB44C4" w:rsidRPr="00F1581E" w:rsidRDefault="00EB44C4" w:rsidP="00EB44C4">
      <w:pPr>
        <w:tabs>
          <w:tab w:val="left" w:pos="2300"/>
        </w:tabs>
        <w:adjustRightInd w:val="0"/>
        <w:snapToGrid w:val="0"/>
        <w:spacing w:line="360" w:lineRule="auto"/>
        <w:rPr>
          <w:rFonts w:ascii="Times New Roman" w:hAnsi="Times New Roman" w:cs="Times New Roman"/>
          <w:b/>
          <w:bCs/>
          <w:szCs w:val="21"/>
        </w:rPr>
      </w:pPr>
      <w:r w:rsidRPr="00EB44C4">
        <w:rPr>
          <w:rFonts w:ascii="Times New Roman" w:hAnsi="Times New Roman" w:cs="Times New Roman"/>
          <w:b/>
          <w:bCs/>
          <w:noProof/>
          <w:szCs w:val="21"/>
        </w:rPr>
        <w:lastRenderedPageBreak/>
        <w:drawing>
          <wp:inline distT="0" distB="0" distL="0" distR="0">
            <wp:extent cx="6188710" cy="5853469"/>
            <wp:effectExtent l="0" t="0" r="2540" b="0"/>
            <wp:docPr id="6" name="图片 6" descr="C:\Users\15538\Desktop\7509 R2\7509 to prod\VS7509 Fig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5538\Desktop\7509 R2\7509 to prod\VS7509 FigS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8710" cy="5853469"/>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S8. </w:t>
      </w:r>
      <w:r w:rsidRPr="00F1581E">
        <w:rPr>
          <w:rFonts w:ascii="Times New Roman" w:hAnsi="Times New Roman" w:cs="Times New Roman"/>
          <w:szCs w:val="21"/>
        </w:rPr>
        <w:t xml:space="preserve">C1INH reduces MAC deposition and preserves OCLN distribution in brain tissues of DENV2-infected mice. </w:t>
      </w:r>
      <w:r w:rsidRPr="00F1581E">
        <w:rPr>
          <w:rFonts w:ascii="Times New Roman" w:hAnsi="Times New Roman" w:cs="Times New Roman"/>
          <w:b/>
          <w:bCs/>
          <w:szCs w:val="21"/>
        </w:rPr>
        <w:t xml:space="preserve">A–C </w:t>
      </w:r>
      <w:r w:rsidRPr="00F1581E">
        <w:rPr>
          <w:rFonts w:ascii="Times New Roman" w:hAnsi="Times New Roman" w:cs="Times New Roman"/>
          <w:szCs w:val="21"/>
        </w:rPr>
        <w:t>Representative immunofluorescence images of brain sections from Mock (</w:t>
      </w:r>
      <w:r w:rsidRPr="00F1581E">
        <w:rPr>
          <w:rFonts w:ascii="Times New Roman" w:hAnsi="Times New Roman" w:cs="Times New Roman"/>
          <w:b/>
          <w:bCs/>
          <w:szCs w:val="21"/>
        </w:rPr>
        <w:t>A</w:t>
      </w:r>
      <w:r w:rsidRPr="00F1581E">
        <w:rPr>
          <w:rFonts w:ascii="Times New Roman" w:hAnsi="Times New Roman" w:cs="Times New Roman"/>
          <w:szCs w:val="21"/>
        </w:rPr>
        <w:t>), DENV2-infected (</w:t>
      </w:r>
      <w:r w:rsidRPr="00F1581E">
        <w:rPr>
          <w:rFonts w:ascii="Times New Roman" w:hAnsi="Times New Roman" w:cs="Times New Roman"/>
          <w:b/>
          <w:bCs/>
          <w:szCs w:val="21"/>
        </w:rPr>
        <w:t>B</w:t>
      </w:r>
      <w:r w:rsidRPr="00F1581E">
        <w:rPr>
          <w:rFonts w:ascii="Times New Roman" w:hAnsi="Times New Roman" w:cs="Times New Roman"/>
          <w:szCs w:val="21"/>
        </w:rPr>
        <w:t>), and C1INH-treated DENV2-infected mice (</w:t>
      </w:r>
      <w:r w:rsidRPr="00F1581E">
        <w:rPr>
          <w:rFonts w:ascii="Times New Roman" w:hAnsi="Times New Roman" w:cs="Times New Roman"/>
          <w:b/>
          <w:bCs/>
          <w:szCs w:val="21"/>
        </w:rPr>
        <w:t>C</w:t>
      </w:r>
      <w:r w:rsidRPr="00F1581E">
        <w:rPr>
          <w:rFonts w:ascii="Times New Roman" w:hAnsi="Times New Roman" w:cs="Times New Roman"/>
          <w:szCs w:val="21"/>
        </w:rPr>
        <w:t>) at 6dpi. Sections were stained for MAC (green), OCLN (red), and nuclei (DAPI, blue). Dashed boxes indicate representative regions shown at higher magnification. DENV2 infection increased MAC deposition and disrupted the continuous vascular OCLN staining pattern, whereas C1INH treatment reduced MAC accumulation and partially restored OCLN distribution. Scale bars are indicated in the images. Scale bar, 1000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100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xml:space="preserve"> in enlarged panels. </w:t>
      </w:r>
      <w:r w:rsidRPr="00F1581E">
        <w:rPr>
          <w:rFonts w:ascii="Times New Roman" w:hAnsi="Times New Roman" w:cs="Times New Roman"/>
          <w:b/>
          <w:bCs/>
          <w:szCs w:val="21"/>
        </w:rPr>
        <w:t xml:space="preserve">D–F </w:t>
      </w:r>
      <w:r w:rsidRPr="00F1581E">
        <w:rPr>
          <w:rFonts w:ascii="Times New Roman" w:hAnsi="Times New Roman" w:cs="Times New Roman"/>
          <w:szCs w:val="21"/>
        </w:rPr>
        <w:t>Representative line-scan analysis of MAC and OCLN fluorescence intensity profiles in Mock (</w:t>
      </w:r>
      <w:r w:rsidRPr="00F1581E">
        <w:rPr>
          <w:rFonts w:ascii="Times New Roman" w:hAnsi="Times New Roman" w:cs="Times New Roman"/>
          <w:b/>
          <w:bCs/>
          <w:szCs w:val="21"/>
        </w:rPr>
        <w:t>D</w:t>
      </w:r>
      <w:r w:rsidRPr="00F1581E">
        <w:rPr>
          <w:rFonts w:ascii="Times New Roman" w:hAnsi="Times New Roman" w:cs="Times New Roman"/>
          <w:szCs w:val="21"/>
        </w:rPr>
        <w:t>), DENV2-infected (</w:t>
      </w:r>
      <w:r w:rsidRPr="00F1581E">
        <w:rPr>
          <w:rFonts w:ascii="Times New Roman" w:hAnsi="Times New Roman" w:cs="Times New Roman"/>
          <w:b/>
          <w:bCs/>
          <w:szCs w:val="21"/>
        </w:rPr>
        <w:t>E</w:t>
      </w:r>
      <w:r w:rsidRPr="00F1581E">
        <w:rPr>
          <w:rFonts w:ascii="Times New Roman" w:hAnsi="Times New Roman" w:cs="Times New Roman"/>
          <w:szCs w:val="21"/>
        </w:rPr>
        <w:t>), and C1INH-treated DENV2-infected mice (</w:t>
      </w:r>
      <w:r w:rsidRPr="00F1581E">
        <w:rPr>
          <w:rFonts w:ascii="Times New Roman" w:hAnsi="Times New Roman" w:cs="Times New Roman"/>
          <w:b/>
          <w:bCs/>
          <w:szCs w:val="21"/>
        </w:rPr>
        <w:t>F</w:t>
      </w:r>
      <w:r w:rsidRPr="00F1581E">
        <w:rPr>
          <w:rFonts w:ascii="Times New Roman" w:hAnsi="Times New Roman" w:cs="Times New Roman"/>
          <w:szCs w:val="21"/>
        </w:rPr>
        <w:t xml:space="preserve">). Gray values were plotted against pixel distance using </w:t>
      </w:r>
      <w:proofErr w:type="spellStart"/>
      <w:r w:rsidRPr="00F1581E">
        <w:rPr>
          <w:rFonts w:ascii="Times New Roman" w:hAnsi="Times New Roman" w:cs="Times New Roman"/>
          <w:szCs w:val="21"/>
        </w:rPr>
        <w:t>ImageJ</w:t>
      </w:r>
      <w:proofErr w:type="spellEnd"/>
      <w:r w:rsidRPr="00F1581E">
        <w:rPr>
          <w:rFonts w:ascii="Times New Roman" w:hAnsi="Times New Roman" w:cs="Times New Roman"/>
          <w:szCs w:val="21"/>
        </w:rPr>
        <w:t>. The overlap between MAC and OCLN signals was increased after DENV2 infection and reduced following C1INH treatment.</w:t>
      </w:r>
    </w:p>
    <w:p w:rsidR="00EB44C4" w:rsidRPr="00F1581E" w:rsidRDefault="00EB44C4" w:rsidP="00EB44C4">
      <w:pPr>
        <w:tabs>
          <w:tab w:val="left" w:pos="2300"/>
        </w:tabs>
        <w:adjustRightInd w:val="0"/>
        <w:snapToGrid w:val="0"/>
        <w:spacing w:line="360" w:lineRule="auto"/>
        <w:rPr>
          <w:rFonts w:ascii="Times New Roman" w:hAnsi="Times New Roman" w:cs="Times New Roman"/>
          <w:b/>
          <w:bCs/>
          <w:szCs w:val="21"/>
        </w:rPr>
      </w:pPr>
      <w:r w:rsidRPr="00EB44C4">
        <w:rPr>
          <w:rFonts w:ascii="Times New Roman" w:hAnsi="Times New Roman" w:cs="Times New Roman"/>
          <w:b/>
          <w:bCs/>
          <w:noProof/>
          <w:szCs w:val="21"/>
        </w:rPr>
        <w:lastRenderedPageBreak/>
        <w:drawing>
          <wp:inline distT="0" distB="0" distL="0" distR="0">
            <wp:extent cx="6188710" cy="5864903"/>
            <wp:effectExtent l="0" t="0" r="2540" b="2540"/>
            <wp:docPr id="5" name="图片 5" descr="C:\Users\15538\Desktop\7509 R2\7509 to prod\VS7509 Fig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5538\Desktop\7509 R2\7509 to prod\VS7509 FigS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88710" cy="5864903"/>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S9. </w:t>
      </w:r>
      <w:r w:rsidRPr="00F1581E">
        <w:rPr>
          <w:rFonts w:ascii="Times New Roman" w:hAnsi="Times New Roman" w:cs="Times New Roman"/>
          <w:szCs w:val="21"/>
        </w:rPr>
        <w:t xml:space="preserve">C1INH limits MAC deposition and vascular barrier disruption in spleens of DENV2-infected mice. </w:t>
      </w:r>
      <w:r w:rsidRPr="00F1581E">
        <w:rPr>
          <w:rFonts w:ascii="Times New Roman" w:hAnsi="Times New Roman" w:cs="Times New Roman"/>
          <w:b/>
          <w:bCs/>
          <w:szCs w:val="21"/>
        </w:rPr>
        <w:t xml:space="preserve">A–C </w:t>
      </w:r>
      <w:r w:rsidRPr="00F1581E">
        <w:rPr>
          <w:rFonts w:ascii="Times New Roman" w:hAnsi="Times New Roman" w:cs="Times New Roman"/>
          <w:szCs w:val="21"/>
        </w:rPr>
        <w:t>Representative immunofluorescence images of spleen sections from Mock (</w:t>
      </w:r>
      <w:r w:rsidRPr="00F1581E">
        <w:rPr>
          <w:rFonts w:ascii="Times New Roman" w:hAnsi="Times New Roman" w:cs="Times New Roman"/>
          <w:b/>
          <w:bCs/>
          <w:szCs w:val="21"/>
        </w:rPr>
        <w:t>A</w:t>
      </w:r>
      <w:r w:rsidRPr="00F1581E">
        <w:rPr>
          <w:rFonts w:ascii="Times New Roman" w:hAnsi="Times New Roman" w:cs="Times New Roman"/>
          <w:szCs w:val="21"/>
        </w:rPr>
        <w:t>), DENV2-infected (</w:t>
      </w:r>
      <w:r w:rsidRPr="00F1581E">
        <w:rPr>
          <w:rFonts w:ascii="Times New Roman" w:hAnsi="Times New Roman" w:cs="Times New Roman"/>
          <w:b/>
          <w:bCs/>
          <w:szCs w:val="21"/>
        </w:rPr>
        <w:t>B</w:t>
      </w:r>
      <w:r w:rsidRPr="00F1581E">
        <w:rPr>
          <w:rFonts w:ascii="Times New Roman" w:hAnsi="Times New Roman" w:cs="Times New Roman"/>
          <w:szCs w:val="21"/>
        </w:rPr>
        <w:t>), and C1INH-treated DENV2-infected mice (</w:t>
      </w:r>
      <w:r w:rsidRPr="00F1581E">
        <w:rPr>
          <w:rFonts w:ascii="Times New Roman" w:hAnsi="Times New Roman" w:cs="Times New Roman"/>
          <w:b/>
          <w:bCs/>
          <w:szCs w:val="21"/>
        </w:rPr>
        <w:t>C</w:t>
      </w:r>
      <w:r w:rsidRPr="00F1581E">
        <w:rPr>
          <w:rFonts w:ascii="Times New Roman" w:hAnsi="Times New Roman" w:cs="Times New Roman"/>
          <w:szCs w:val="21"/>
        </w:rPr>
        <w:t>) at 6dpi. Sections were stained for MAC (green), OCLN (red), and nuclei (DAPI, blue). Dashed boxes indicate representative regions shown at higher magnification. DENV2 infection induced marked MAC deposition and altered OCLN distribution in spleen tissues, whereas C1INH treatment decreased MAC signals and improved the continuity of OCLN staining. Scale bars are indicated in the images. Scale bar, 1000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100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xml:space="preserve"> in enlarged panels. </w:t>
      </w:r>
      <w:r w:rsidRPr="00F1581E">
        <w:rPr>
          <w:rFonts w:ascii="Times New Roman" w:hAnsi="Times New Roman" w:cs="Times New Roman"/>
          <w:b/>
          <w:bCs/>
          <w:szCs w:val="21"/>
        </w:rPr>
        <w:t xml:space="preserve">D–F </w:t>
      </w:r>
      <w:r w:rsidRPr="00F1581E">
        <w:rPr>
          <w:rFonts w:ascii="Times New Roman" w:hAnsi="Times New Roman" w:cs="Times New Roman"/>
          <w:szCs w:val="21"/>
        </w:rPr>
        <w:t>Representative line-scan analysis of MAC and OCLN fluorescence intensity profiles in Mock</w:t>
      </w:r>
      <w:r w:rsidRPr="00F1581E">
        <w:rPr>
          <w:rFonts w:ascii="Times New Roman" w:hAnsi="Times New Roman" w:cs="Times New Roman"/>
          <w:b/>
          <w:bCs/>
          <w:szCs w:val="21"/>
        </w:rPr>
        <w:t xml:space="preserve"> </w:t>
      </w:r>
      <w:r w:rsidRPr="00F1581E">
        <w:rPr>
          <w:rFonts w:ascii="Times New Roman" w:hAnsi="Times New Roman" w:cs="Times New Roman"/>
          <w:szCs w:val="21"/>
        </w:rPr>
        <w:t>(</w:t>
      </w:r>
      <w:r w:rsidRPr="00F1581E">
        <w:rPr>
          <w:rFonts w:ascii="Times New Roman" w:hAnsi="Times New Roman" w:cs="Times New Roman"/>
          <w:b/>
          <w:bCs/>
          <w:szCs w:val="21"/>
        </w:rPr>
        <w:t>D</w:t>
      </w:r>
      <w:r w:rsidRPr="00F1581E">
        <w:rPr>
          <w:rFonts w:ascii="Times New Roman" w:hAnsi="Times New Roman" w:cs="Times New Roman"/>
          <w:szCs w:val="21"/>
        </w:rPr>
        <w:t>), DENV2-infected (</w:t>
      </w:r>
      <w:r w:rsidRPr="00F1581E">
        <w:rPr>
          <w:rFonts w:ascii="Times New Roman" w:hAnsi="Times New Roman" w:cs="Times New Roman"/>
          <w:b/>
          <w:bCs/>
          <w:szCs w:val="21"/>
        </w:rPr>
        <w:t>E</w:t>
      </w:r>
      <w:r w:rsidRPr="00F1581E">
        <w:rPr>
          <w:rFonts w:ascii="Times New Roman" w:hAnsi="Times New Roman" w:cs="Times New Roman"/>
          <w:szCs w:val="21"/>
        </w:rPr>
        <w:t>), and C1INH-treated DENV2-infected mice (</w:t>
      </w:r>
      <w:r w:rsidRPr="00F1581E">
        <w:rPr>
          <w:rFonts w:ascii="Times New Roman" w:hAnsi="Times New Roman" w:cs="Times New Roman"/>
          <w:b/>
          <w:bCs/>
          <w:szCs w:val="21"/>
        </w:rPr>
        <w:t>F</w:t>
      </w:r>
      <w:r w:rsidRPr="00F1581E">
        <w:rPr>
          <w:rFonts w:ascii="Times New Roman" w:hAnsi="Times New Roman" w:cs="Times New Roman"/>
          <w:szCs w:val="21"/>
        </w:rPr>
        <w:t xml:space="preserve">). DENV2 infection enhanced the spatial overlap between MAC and OCLN signals, while C1INH treatment reduced MAC-OCLN </w:t>
      </w:r>
      <w:proofErr w:type="spellStart"/>
      <w:r w:rsidRPr="00F1581E">
        <w:rPr>
          <w:rFonts w:ascii="Times New Roman" w:hAnsi="Times New Roman" w:cs="Times New Roman"/>
          <w:szCs w:val="21"/>
        </w:rPr>
        <w:t>colocalization</w:t>
      </w:r>
      <w:proofErr w:type="spellEnd"/>
      <w:r w:rsidRPr="00F1581E">
        <w:rPr>
          <w:rFonts w:ascii="Times New Roman" w:hAnsi="Times New Roman" w:cs="Times New Roman"/>
          <w:szCs w:val="21"/>
        </w:rPr>
        <w:t>.</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4681220" cy="5541010"/>
            <wp:effectExtent l="0" t="0" r="5080" b="2540"/>
            <wp:docPr id="4" name="图片 4" descr="C:\Users\15538\Desktop\7509 R2\7509 to prod\VS7509 Fig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5538\Desktop\7509 R2\7509 to prod\VS7509 FigS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1220" cy="5541010"/>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 xml:space="preserve">Supplementary Fig. S10. </w:t>
      </w:r>
      <w:r w:rsidRPr="00F1581E">
        <w:rPr>
          <w:rFonts w:ascii="Times New Roman" w:hAnsi="Times New Roman" w:cs="Times New Roman"/>
          <w:szCs w:val="21"/>
        </w:rPr>
        <w:t xml:space="preserve">C1INH attenuates organ MAC deposition, vascular leakage, and systemic complement consumption in DENV2-infected mice. </w:t>
      </w:r>
      <w:r w:rsidRPr="00F1581E">
        <w:rPr>
          <w:rFonts w:ascii="Times New Roman" w:hAnsi="Times New Roman" w:cs="Times New Roman"/>
          <w:b/>
          <w:bCs/>
          <w:szCs w:val="21"/>
        </w:rPr>
        <w:t>A</w:t>
      </w:r>
      <w:r w:rsidRPr="00F1581E">
        <w:rPr>
          <w:rFonts w:ascii="Times New Roman" w:hAnsi="Times New Roman" w:cs="Times New Roman"/>
          <w:szCs w:val="21"/>
        </w:rPr>
        <w:t xml:space="preserve"> Skeletonized views of MAC staining signals in liver, brain, and spleen sections from Mock, DENV2-infected, and C1INH-treated DENV2-infected mice. Images correspond to representative sections shown in</w:t>
      </w:r>
      <w:r w:rsidRPr="00F1581E">
        <w:rPr>
          <w:rFonts w:ascii="Times New Roman" w:hAnsi="Times New Roman" w:cs="Times New Roman"/>
          <w:b/>
          <w:szCs w:val="21"/>
        </w:rPr>
        <w:t xml:space="preserve"> Fig. 6A–C</w:t>
      </w:r>
      <w:r w:rsidRPr="00F1581E">
        <w:rPr>
          <w:rFonts w:ascii="Times New Roman" w:hAnsi="Times New Roman" w:cs="Times New Roman"/>
          <w:szCs w:val="21"/>
        </w:rPr>
        <w:t>,</w:t>
      </w:r>
      <w:r w:rsidRPr="00F1581E">
        <w:rPr>
          <w:rFonts w:ascii="Times New Roman" w:hAnsi="Times New Roman" w:cs="Times New Roman"/>
          <w:b/>
          <w:szCs w:val="21"/>
        </w:rPr>
        <w:t xml:space="preserve"> Supplementary Fig. 8A–C</w:t>
      </w:r>
      <w:r w:rsidRPr="00F1581E">
        <w:rPr>
          <w:rFonts w:ascii="Times New Roman" w:hAnsi="Times New Roman" w:cs="Times New Roman"/>
          <w:szCs w:val="21"/>
        </w:rPr>
        <w:t xml:space="preserve">, and </w:t>
      </w:r>
      <w:r w:rsidRPr="00F1581E">
        <w:rPr>
          <w:rFonts w:ascii="Times New Roman" w:hAnsi="Times New Roman" w:cs="Times New Roman"/>
          <w:b/>
          <w:szCs w:val="21"/>
        </w:rPr>
        <w:t>Supplementary Fig. 9A–C</w:t>
      </w:r>
      <w:r w:rsidRPr="00F1581E">
        <w:rPr>
          <w:rFonts w:ascii="Times New Roman" w:hAnsi="Times New Roman" w:cs="Times New Roman"/>
          <w:szCs w:val="21"/>
        </w:rPr>
        <w:t xml:space="preserve">. DENV2 infection induced extensive MAC deposition in multiple organs, whereas C1INH treatment markedly reduced MAC-positive signals. Scale bars are indicated in the images. </w:t>
      </w:r>
      <w:r w:rsidRPr="00F1581E">
        <w:rPr>
          <w:rFonts w:ascii="Times New Roman" w:hAnsi="Times New Roman" w:cs="Times New Roman"/>
          <w:b/>
          <w:bCs/>
          <w:szCs w:val="21"/>
        </w:rPr>
        <w:t>B</w:t>
      </w:r>
      <w:r w:rsidRPr="00F1581E">
        <w:rPr>
          <w:rFonts w:ascii="Times New Roman" w:hAnsi="Times New Roman" w:cs="Times New Roman"/>
          <w:szCs w:val="21"/>
        </w:rPr>
        <w:t xml:space="preserve"> Evans blue permeability assay showing vascular leakage in liver, brain, and spleen tissues. Evans blue content was normalized to tissue weight and expressed as </w:t>
      </w:r>
      <w:proofErr w:type="spellStart"/>
      <w:r w:rsidRPr="00F1581E">
        <w:rPr>
          <w:rFonts w:ascii="Times New Roman" w:hAnsi="Times New Roman" w:cs="Times New Roman"/>
          <w:szCs w:val="21"/>
        </w:rPr>
        <w:t>μg</w:t>
      </w:r>
      <w:proofErr w:type="spellEnd"/>
      <w:r w:rsidRPr="00F1581E">
        <w:rPr>
          <w:rFonts w:ascii="Times New Roman" w:hAnsi="Times New Roman" w:cs="Times New Roman"/>
          <w:szCs w:val="21"/>
        </w:rPr>
        <w:t xml:space="preserve"> per 100 mg tissue. C1INH treatment significantly reduced DENV2-induced vascular leakage in multiple organs </w:t>
      </w:r>
      <w:bookmarkStart w:id="10" w:name="OLE_LINK55"/>
      <w:r w:rsidRPr="00F1581E">
        <w:rPr>
          <w:rFonts w:ascii="Times New Roman" w:hAnsi="Times New Roman" w:cs="Times New Roman"/>
          <w:szCs w:val="21"/>
        </w:rPr>
        <w:t>(n = 11–15 samples for each group)</w:t>
      </w:r>
      <w:bookmarkEnd w:id="10"/>
      <w:r w:rsidRPr="00F1581E">
        <w:rPr>
          <w:rFonts w:ascii="Times New Roman" w:hAnsi="Times New Roman" w:cs="Times New Roman"/>
          <w:szCs w:val="21"/>
        </w:rPr>
        <w:t xml:space="preserve">. </w:t>
      </w:r>
      <w:r w:rsidRPr="00F1581E">
        <w:rPr>
          <w:rFonts w:ascii="Times New Roman" w:hAnsi="Times New Roman" w:cs="Times New Roman"/>
          <w:b/>
          <w:bCs/>
          <w:szCs w:val="21"/>
        </w:rPr>
        <w:t>C</w:t>
      </w:r>
      <w:r w:rsidRPr="00F1581E">
        <w:rPr>
          <w:rFonts w:ascii="Times New Roman" w:hAnsi="Times New Roman" w:cs="Times New Roman"/>
          <w:szCs w:val="21"/>
        </w:rPr>
        <w:t xml:space="preserve"> Serum C3 concentrations measured by ELISA in Mock, DENV2-infected, and C1INH-treated DENV2-infected mice. DENV2 infection reduced circulating C3 levels, consistent with systemic complement activation and C3 consumption, whereas C1INH treatment partially restored serum C3 levels (n = 7–12 samples for each group). Data are presented as mean ± SEM. Statistical significance is indicated in the figure. *</w:t>
      </w:r>
      <w:r w:rsidRPr="00F1581E">
        <w:rPr>
          <w:rFonts w:ascii="Times New Roman" w:hAnsi="Times New Roman" w:cs="Times New Roman"/>
          <w:i/>
          <w:szCs w:val="21"/>
        </w:rPr>
        <w:t xml:space="preserve">P </w:t>
      </w:r>
      <w:r w:rsidRPr="00F1581E">
        <w:rPr>
          <w:rFonts w:ascii="Times New Roman" w:hAnsi="Times New Roman" w:cs="Times New Roman"/>
          <w:szCs w:val="21"/>
        </w:rPr>
        <w:t>&lt; 0.05; **</w:t>
      </w:r>
      <w:r w:rsidRPr="00F1581E">
        <w:rPr>
          <w:rFonts w:ascii="Times New Roman" w:hAnsi="Times New Roman" w:cs="Times New Roman"/>
          <w:i/>
          <w:szCs w:val="21"/>
        </w:rPr>
        <w:t xml:space="preserve">P </w:t>
      </w:r>
      <w:r w:rsidRPr="00F1581E">
        <w:rPr>
          <w:rFonts w:ascii="Times New Roman" w:hAnsi="Times New Roman" w:cs="Times New Roman"/>
          <w:szCs w:val="21"/>
        </w:rPr>
        <w:t>&lt; 0.01.</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3960000" cy="6302568"/>
            <wp:effectExtent l="0" t="0" r="2540" b="3175"/>
            <wp:docPr id="3" name="图片 3" descr="C:\Users\15538\Desktop\7509 R2\7509 to prod\VS7509 Fig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5538\Desktop\7509 R2\7509 to prod\VS7509 FigS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0000" cy="6302568"/>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Supplementary Fig. S11</w:t>
      </w:r>
      <w:r w:rsidRPr="00F1581E">
        <w:rPr>
          <w:rFonts w:ascii="Times New Roman" w:hAnsi="Times New Roman" w:cs="Times New Roman"/>
          <w:szCs w:val="21"/>
        </w:rPr>
        <w:t xml:space="preserve">. </w:t>
      </w:r>
      <w:proofErr w:type="spellStart"/>
      <w:r w:rsidRPr="00F1581E">
        <w:rPr>
          <w:rFonts w:ascii="Times New Roman" w:hAnsi="Times New Roman" w:cs="Times New Roman"/>
          <w:szCs w:val="21"/>
        </w:rPr>
        <w:t>Histopathological</w:t>
      </w:r>
      <w:proofErr w:type="spellEnd"/>
      <w:r w:rsidRPr="00F1581E">
        <w:rPr>
          <w:rFonts w:ascii="Times New Roman" w:hAnsi="Times New Roman" w:cs="Times New Roman"/>
          <w:szCs w:val="21"/>
        </w:rPr>
        <w:t xml:space="preserve"> changes and MAC deposition in brain tissues of DENV2-infected mice. Representative H&amp;E-stained brain sections and corresponding MAC immunofluorescence images from Mock, DENV2-infected, and C1INH-treated DENV2-infected mice at 6 dpi. Dashed boxes indicate representative regions enlarged in the surrounding insets. DENV2 infection increased MAC-positive signals in brain tissues and was associated with local </w:t>
      </w:r>
      <w:proofErr w:type="spellStart"/>
      <w:r w:rsidRPr="00F1581E">
        <w:rPr>
          <w:rFonts w:ascii="Times New Roman" w:hAnsi="Times New Roman" w:cs="Times New Roman"/>
          <w:szCs w:val="21"/>
        </w:rPr>
        <w:t>histopathological</w:t>
      </w:r>
      <w:proofErr w:type="spellEnd"/>
      <w:r w:rsidRPr="00F1581E">
        <w:rPr>
          <w:rFonts w:ascii="Times New Roman" w:hAnsi="Times New Roman" w:cs="Times New Roman"/>
          <w:szCs w:val="21"/>
        </w:rPr>
        <w:t xml:space="preserve"> alterations. C1INH treatment reduced MAC deposition and alleviated tissue lesion areas. MAC is shown in green. Scale bars are indicated in the images. Scale bar, 1000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50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xml:space="preserve"> in enlarged panels. </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3957851" cy="6488835"/>
            <wp:effectExtent l="0" t="0" r="5080" b="7620"/>
            <wp:docPr id="2" name="图片 2" descr="C:\Users\15538\Desktop\7509 R2\7509 to prod\VS7509 Fig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538\Desktop\7509 R2\7509 to prod\VS7509 FigS1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59553" cy="6491626"/>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Supplementary Fig. S12.</w:t>
      </w:r>
      <w:r w:rsidRPr="00F1581E">
        <w:rPr>
          <w:rFonts w:ascii="Times New Roman" w:hAnsi="Times New Roman" w:cs="Times New Roman"/>
          <w:szCs w:val="21"/>
        </w:rPr>
        <w:t xml:space="preserve"> C1INH reduces MAC-associated splenic lesions in DENV2-infected mice. Representative H&amp;E-stained spleen sections and corresponding MAC immunofluorescence images from Mock, DENV2-infected, and C1INH-treated DENV2-infected mice at 6 dpi. Dashed boxes indicate representative regions shown at higher magnification. DENV2 infection induced marked splenic tissue lesions accompanied by extensive MAC deposition, whereas C1INH treatment substantially decreased MAC-positive signals and reduced the extent of pathological injury. MAC is shown in green. Scale bars are indicated in the images. Scale bar, 1000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50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xml:space="preserve"> in enlarged panels.</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EB44C4">
        <w:rPr>
          <w:rFonts w:ascii="Times New Roman" w:hAnsi="Times New Roman" w:cs="Times New Roman"/>
          <w:noProof/>
          <w:szCs w:val="21"/>
        </w:rPr>
        <w:lastRenderedPageBreak/>
        <w:drawing>
          <wp:inline distT="0" distB="0" distL="0" distR="0">
            <wp:extent cx="6188710" cy="5654968"/>
            <wp:effectExtent l="0" t="0" r="2540" b="3175"/>
            <wp:docPr id="1" name="图片 1" descr="C:\Users\15538\Desktop\7509 R2\7509 to prod\VS7509 Fig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5538\Desktop\7509 R2\7509 to prod\VS7509 FigS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88710" cy="5654968"/>
                    </a:xfrm>
                    <a:prstGeom prst="rect">
                      <a:avLst/>
                    </a:prstGeom>
                    <a:noFill/>
                    <a:ln>
                      <a:noFill/>
                    </a:ln>
                  </pic:spPr>
                </pic:pic>
              </a:graphicData>
            </a:graphic>
          </wp:inline>
        </w:drawing>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r w:rsidRPr="00F1581E">
        <w:rPr>
          <w:rFonts w:ascii="Times New Roman" w:hAnsi="Times New Roman" w:cs="Times New Roman"/>
          <w:b/>
          <w:bCs/>
          <w:szCs w:val="21"/>
        </w:rPr>
        <w:t>Supplementary Fig. S13.</w:t>
      </w:r>
      <w:r w:rsidRPr="00F1581E">
        <w:rPr>
          <w:rFonts w:ascii="Times New Roman" w:hAnsi="Times New Roman" w:cs="Times New Roman"/>
          <w:szCs w:val="21"/>
        </w:rPr>
        <w:t xml:space="preserve"> C1INH treatment decreases Caspase-3 expression in multiple organs of DENV2-infected mice. </w:t>
      </w:r>
      <w:r w:rsidRPr="00F1581E">
        <w:rPr>
          <w:rFonts w:ascii="Times New Roman" w:hAnsi="Times New Roman" w:cs="Times New Roman"/>
          <w:b/>
          <w:bCs/>
          <w:szCs w:val="21"/>
        </w:rPr>
        <w:t>A</w:t>
      </w:r>
      <w:r w:rsidRPr="00F1581E">
        <w:rPr>
          <w:rFonts w:ascii="Times New Roman" w:hAnsi="Times New Roman" w:cs="Times New Roman"/>
          <w:szCs w:val="21"/>
        </w:rPr>
        <w:t xml:space="preserve"> Representative immunofluorescence images showing Caspase-3 expression in liver, brain, and spleen tissues from Mock, DENV2-infected, and C1INH-treated DENV2-infected mice at 6 dpi. Sections were stained for caspase-3 (CAS3, green) and nuclei (DAPI, blue). DENV2 infection markedly increased Caspase-3 signals in multiple organs, whereas C1INH treatment reduced Caspase-3 expression, consistent with attenuated apoptosis-associated tissue injury. Scale bars, 50 </w:t>
      </w:r>
      <w:proofErr w:type="spellStart"/>
      <w:r w:rsidRPr="00F1581E">
        <w:rPr>
          <w:rFonts w:ascii="Times New Roman" w:hAnsi="Times New Roman" w:cs="Times New Roman"/>
          <w:szCs w:val="21"/>
        </w:rPr>
        <w:t>μm</w:t>
      </w:r>
      <w:proofErr w:type="spellEnd"/>
      <w:r w:rsidRPr="00F1581E">
        <w:rPr>
          <w:rFonts w:ascii="Times New Roman" w:hAnsi="Times New Roman" w:cs="Times New Roman"/>
          <w:szCs w:val="21"/>
        </w:rPr>
        <w:t xml:space="preserve">. </w:t>
      </w:r>
      <w:r w:rsidRPr="00F1581E">
        <w:rPr>
          <w:rFonts w:ascii="Times New Roman" w:hAnsi="Times New Roman" w:cs="Times New Roman"/>
          <w:b/>
          <w:bCs/>
          <w:szCs w:val="21"/>
        </w:rPr>
        <w:t>B–D</w:t>
      </w:r>
      <w:r w:rsidRPr="00F1581E">
        <w:rPr>
          <w:rFonts w:ascii="Times New Roman" w:hAnsi="Times New Roman" w:cs="Times New Roman"/>
          <w:szCs w:val="21"/>
        </w:rPr>
        <w:t xml:space="preserve"> Quantification of CAS3 immunofluorescence intensity, expressed as the mean gray value of CAS3 staining, in the liver </w:t>
      </w:r>
      <w:r w:rsidRPr="00F1581E">
        <w:rPr>
          <w:rFonts w:ascii="Times New Roman" w:hAnsi="Times New Roman" w:cs="Times New Roman"/>
          <w:b/>
          <w:bCs/>
          <w:szCs w:val="21"/>
        </w:rPr>
        <w:t>(B)</w:t>
      </w:r>
      <w:r w:rsidRPr="00F1581E">
        <w:rPr>
          <w:rFonts w:ascii="Times New Roman" w:hAnsi="Times New Roman" w:cs="Times New Roman"/>
          <w:szCs w:val="21"/>
        </w:rPr>
        <w:t>, brain</w:t>
      </w:r>
      <w:r w:rsidRPr="00F1581E">
        <w:rPr>
          <w:rFonts w:ascii="Times New Roman" w:hAnsi="Times New Roman" w:cs="Times New Roman"/>
          <w:b/>
          <w:bCs/>
          <w:szCs w:val="21"/>
        </w:rPr>
        <w:t xml:space="preserve"> (C)</w:t>
      </w:r>
      <w:r w:rsidRPr="00F1581E">
        <w:rPr>
          <w:rFonts w:ascii="Times New Roman" w:hAnsi="Times New Roman" w:cs="Times New Roman"/>
          <w:szCs w:val="21"/>
        </w:rPr>
        <w:t>, and spleen</w:t>
      </w:r>
      <w:r w:rsidRPr="00F1581E">
        <w:rPr>
          <w:rFonts w:ascii="Times New Roman" w:hAnsi="Times New Roman" w:cs="Times New Roman"/>
          <w:b/>
          <w:bCs/>
          <w:szCs w:val="21"/>
        </w:rPr>
        <w:t xml:space="preserve"> (D)</w:t>
      </w:r>
      <w:r w:rsidRPr="00F1581E">
        <w:rPr>
          <w:rFonts w:ascii="Times New Roman" w:hAnsi="Times New Roman" w:cs="Times New Roman"/>
          <w:szCs w:val="21"/>
        </w:rPr>
        <w:t>. DENV2 infection significantly increased CAS3 immunofluorescence signals in all three organs compared with the Mock group, whereas C1INH treatment significantly reduced CAS3 signals compared with the DENV2-infected group. **</w:t>
      </w:r>
      <w:r w:rsidRPr="00F1581E">
        <w:rPr>
          <w:rFonts w:ascii="Times New Roman" w:hAnsi="Times New Roman" w:cs="Times New Roman"/>
          <w:i/>
          <w:iCs/>
          <w:szCs w:val="21"/>
        </w:rPr>
        <w:t>P</w:t>
      </w:r>
      <w:r w:rsidRPr="00F1581E">
        <w:rPr>
          <w:rFonts w:ascii="Times New Roman" w:hAnsi="Times New Roman" w:cs="Times New Roman"/>
          <w:szCs w:val="21"/>
        </w:rPr>
        <w:t xml:space="preserve"> &lt; 0.01.</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sectPr w:rsidR="00EB44C4" w:rsidRPr="00F1581E" w:rsidSect="00EB44C4">
          <w:pgSz w:w="11906" w:h="16838"/>
          <w:pgMar w:top="1440" w:right="1080" w:bottom="1440" w:left="1080" w:header="851" w:footer="992" w:gutter="0"/>
          <w:cols w:space="425"/>
          <w:docGrid w:type="lines" w:linePitch="312"/>
        </w:sectPr>
      </w:pPr>
    </w:p>
    <w:p w:rsidR="00EB44C4" w:rsidRPr="00F1581E" w:rsidRDefault="00EB44C4" w:rsidP="00EB44C4">
      <w:pPr>
        <w:adjustRightInd w:val="0"/>
        <w:snapToGrid w:val="0"/>
        <w:spacing w:line="360" w:lineRule="auto"/>
        <w:rPr>
          <w:rFonts w:ascii="Times New Roman" w:hAnsi="Times New Roman" w:cs="Times New Roman"/>
          <w:b/>
          <w:bCs/>
          <w:szCs w:val="21"/>
        </w:rPr>
      </w:pPr>
      <w:r w:rsidRPr="00F1581E">
        <w:rPr>
          <w:rFonts w:ascii="Times New Roman" w:hAnsi="Times New Roman" w:cs="Times New Roman"/>
          <w:b/>
          <w:bCs/>
          <w:szCs w:val="21"/>
        </w:rPr>
        <w:lastRenderedPageBreak/>
        <w:t xml:space="preserve">Supplementary Table S1 </w:t>
      </w:r>
      <w:r w:rsidRPr="00F1581E">
        <w:rPr>
          <w:rFonts w:ascii="Times New Roman" w:hAnsi="Times New Roman" w:cs="Times New Roman"/>
          <w:b/>
          <w:sz w:val="24"/>
        </w:rPr>
        <w:t>Primers and probes</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EB44C4" w:rsidRPr="00F1581E" w:rsidTr="00930C9F">
        <w:tc>
          <w:tcPr>
            <w:tcW w:w="4868" w:type="dxa"/>
            <w:tcBorders>
              <w:top w:val="single" w:sz="4" w:space="0" w:color="auto"/>
              <w:bottom w:val="single" w:sz="4" w:space="0" w:color="auto"/>
            </w:tcBorders>
            <w:vAlign w:val="center"/>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b/>
                <w:sz w:val="24"/>
              </w:rPr>
              <w:t>Primers and probes</w:t>
            </w:r>
          </w:p>
        </w:tc>
        <w:tc>
          <w:tcPr>
            <w:tcW w:w="4868" w:type="dxa"/>
            <w:tcBorders>
              <w:top w:val="single" w:sz="4" w:space="0" w:color="auto"/>
              <w:bottom w:val="single" w:sz="4" w:space="0" w:color="auto"/>
            </w:tcBorders>
            <w:vAlign w:val="center"/>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5′-3′</w:t>
            </w:r>
          </w:p>
        </w:tc>
      </w:tr>
      <w:tr w:rsidR="00EB44C4" w:rsidRPr="00F1581E" w:rsidTr="00930C9F">
        <w:tc>
          <w:tcPr>
            <w:tcW w:w="4868" w:type="dxa"/>
            <w:tcBorders>
              <w:top w:val="single" w:sz="4" w:space="0" w:color="auto"/>
            </w:tcBorders>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DENV2 Forward primer</w:t>
            </w:r>
          </w:p>
        </w:tc>
        <w:tc>
          <w:tcPr>
            <w:tcW w:w="4868" w:type="dxa"/>
            <w:tcBorders>
              <w:top w:val="single" w:sz="4" w:space="0" w:color="auto"/>
            </w:tcBorders>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5′-GARAGACCAGAGATCCTGCTGTCT-3′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DENV2 Reverse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5′-ACCATTCCATTTTCTGGCGTT-3′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Probe</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FAM-AGCATCATTCCAGGCAC-MGB</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C1q Forward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5′-CGGGTCTCAAAGGAGAGAGA-3′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C1q Reverse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5′-TATTGCCTGGATTGCCTTTC-3′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MBL1 Forward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5′-CTTCTGCTTCCATTACT CCCTG-3′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MBL1 Reverse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5′-GCCTTTTGGTCCTGGACTTCC-3′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MASP1 Forward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5′-AC TTTCCGGTCAGA TTTCTCCA-3′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MASP1 Reverse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5′-TAGCCACCGATGTAGTTGTGA-3′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Complement factor B (CFB) Forward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5′-GAAAGCCAGTTGTGAGAGAG-3′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CFB Reverse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5′-AGAGGAACCGTGGAGTGA-3′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Complement factor P (CFP) Forward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5′-GGTAAAGTAGCCAACGAG TC-3′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CFP Reverse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5′-GCAGAAGGGTTCAGTAGTAG-3′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CASP3 Forward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5′-CTCGCTCTGGTACGGATGTG-3′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CASP3 Reverse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5′-TCCCATAAATGACCCCTTCATCA-3′</w:t>
            </w:r>
          </w:p>
        </w:tc>
      </w:tr>
      <w:tr w:rsidR="00EB44C4" w:rsidRPr="00F1581E" w:rsidTr="00930C9F">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GAPDH Forward Primer</w:t>
            </w:r>
          </w:p>
        </w:tc>
        <w:tc>
          <w:tcPr>
            <w:tcW w:w="4868" w:type="dxa"/>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5′-AATGGATTTGGACGCATTGGT-3′</w:t>
            </w:r>
          </w:p>
        </w:tc>
      </w:tr>
      <w:tr w:rsidR="00EB44C4" w:rsidRPr="00F1581E" w:rsidTr="00930C9F">
        <w:tc>
          <w:tcPr>
            <w:tcW w:w="4868" w:type="dxa"/>
            <w:tcBorders>
              <w:bottom w:val="single" w:sz="4" w:space="0" w:color="auto"/>
            </w:tcBorders>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GAPDH Reverse Primer</w:t>
            </w:r>
          </w:p>
        </w:tc>
        <w:tc>
          <w:tcPr>
            <w:tcW w:w="4868" w:type="dxa"/>
            <w:tcBorders>
              <w:bottom w:val="single" w:sz="4" w:space="0" w:color="auto"/>
            </w:tcBorders>
          </w:tcPr>
          <w:p w:rsidR="00EB44C4" w:rsidRPr="00F1581E" w:rsidRDefault="00EB44C4" w:rsidP="00930C9F">
            <w:pPr>
              <w:adjustRightInd w:val="0"/>
              <w:snapToGrid w:val="0"/>
              <w:spacing w:line="360" w:lineRule="auto"/>
              <w:rPr>
                <w:rFonts w:ascii="Times New Roman" w:hAnsi="Times New Roman" w:cs="Times New Roman"/>
                <w:b/>
                <w:color w:val="0070C0"/>
                <w:sz w:val="24"/>
              </w:rPr>
            </w:pPr>
            <w:r w:rsidRPr="00F1581E">
              <w:rPr>
                <w:rFonts w:ascii="Times New Roman" w:hAnsi="Times New Roman" w:cs="Times New Roman"/>
              </w:rPr>
              <w:t>5′-TTTGCACTGGTACGTGTTGAT-3′</w:t>
            </w:r>
          </w:p>
        </w:tc>
      </w:tr>
    </w:tbl>
    <w:p w:rsidR="00EB44C4" w:rsidRPr="00F1581E" w:rsidRDefault="00EB44C4" w:rsidP="00EB44C4">
      <w:pPr>
        <w:adjustRightInd w:val="0"/>
        <w:snapToGrid w:val="0"/>
        <w:spacing w:line="360" w:lineRule="auto"/>
        <w:rPr>
          <w:rFonts w:ascii="Times New Roman" w:hAnsi="Times New Roman" w:cs="Times New Roman"/>
        </w:rPr>
      </w:pPr>
      <w:r w:rsidRPr="00F1581E">
        <w:rPr>
          <w:rFonts w:ascii="Times New Roman" w:hAnsi="Times New Roman" w:cs="Times New Roman"/>
        </w:rPr>
        <w:t xml:space="preserve"> </w:t>
      </w:r>
    </w:p>
    <w:p w:rsidR="00EB44C4" w:rsidRPr="00F1581E" w:rsidRDefault="00EB44C4" w:rsidP="00EB44C4">
      <w:pPr>
        <w:tabs>
          <w:tab w:val="left" w:pos="2300"/>
        </w:tabs>
        <w:adjustRightInd w:val="0"/>
        <w:snapToGrid w:val="0"/>
        <w:spacing w:line="360" w:lineRule="auto"/>
        <w:rPr>
          <w:rFonts w:ascii="Times New Roman" w:hAnsi="Times New Roman" w:cs="Times New Roman"/>
          <w:szCs w:val="21"/>
        </w:rPr>
      </w:pPr>
    </w:p>
    <w:p w:rsidR="00AC218F" w:rsidRDefault="00AC218F"/>
    <w:sectPr w:rsidR="00AC218F" w:rsidSect="00EB44C4">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B42" w:rsidRDefault="00FB3B42" w:rsidP="00EB44C4">
      <w:r>
        <w:separator/>
      </w:r>
    </w:p>
  </w:endnote>
  <w:endnote w:type="continuationSeparator" w:id="0">
    <w:p w:rsidR="00FB3B42" w:rsidRDefault="00FB3B42" w:rsidP="00EB4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B42" w:rsidRDefault="00FB3B42" w:rsidP="00EB44C4">
      <w:r>
        <w:separator/>
      </w:r>
    </w:p>
  </w:footnote>
  <w:footnote w:type="continuationSeparator" w:id="0">
    <w:p w:rsidR="00FB3B42" w:rsidRDefault="00FB3B42" w:rsidP="00EB44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Content>
      <w:p w:rsidR="00EB44C4" w:rsidRDefault="00EB44C4" w:rsidP="00EB44C4">
        <w:pPr>
          <w:pStyle w:val="a3"/>
          <w:pBdr>
            <w:bottom w:val="none" w:sz="0" w:space="0" w:color="auto"/>
          </w:pBdr>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noProof/>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noProof/>
          </w:rPr>
          <w:t>16</w:t>
        </w:r>
        <w:r>
          <w:rPr>
            <w:b/>
            <w:bCs/>
            <w:sz w:val="24"/>
            <w:szCs w:val="24"/>
          </w:rPr>
          <w:fldChar w:fldCharType="end"/>
        </w:r>
      </w:p>
    </w:sdtContent>
  </w:sdt>
  <w:p w:rsidR="00EB44C4" w:rsidRDefault="00EB44C4" w:rsidP="00EB44C4">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08E"/>
    <w:rsid w:val="0025308E"/>
    <w:rsid w:val="004173D6"/>
    <w:rsid w:val="00AC218F"/>
    <w:rsid w:val="00EB44C4"/>
    <w:rsid w:val="00FB3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6F61B-7B08-4618-8905-8E1478ECB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2title">
    <w:name w:val="MDPI_1.2_title"/>
    <w:next w:val="a"/>
    <w:qFormat/>
    <w:rsid w:val="004173D6"/>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rPr>
  </w:style>
  <w:style w:type="paragraph" w:styleId="a3">
    <w:name w:val="header"/>
    <w:basedOn w:val="a"/>
    <w:link w:val="Char"/>
    <w:uiPriority w:val="99"/>
    <w:unhideWhenUsed/>
    <w:rsid w:val="00EB44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B44C4"/>
    <w:rPr>
      <w:sz w:val="18"/>
      <w:szCs w:val="18"/>
    </w:rPr>
  </w:style>
  <w:style w:type="paragraph" w:styleId="a4">
    <w:name w:val="footer"/>
    <w:basedOn w:val="a"/>
    <w:link w:val="Char0"/>
    <w:uiPriority w:val="99"/>
    <w:unhideWhenUsed/>
    <w:rsid w:val="00EB44C4"/>
    <w:pPr>
      <w:tabs>
        <w:tab w:val="center" w:pos="4153"/>
        <w:tab w:val="right" w:pos="8306"/>
      </w:tabs>
      <w:snapToGrid w:val="0"/>
      <w:jc w:val="left"/>
    </w:pPr>
    <w:rPr>
      <w:sz w:val="18"/>
      <w:szCs w:val="18"/>
    </w:rPr>
  </w:style>
  <w:style w:type="character" w:customStyle="1" w:styleId="Char0">
    <w:name w:val="页脚 Char"/>
    <w:basedOn w:val="a0"/>
    <w:link w:val="a4"/>
    <w:uiPriority w:val="99"/>
    <w:rsid w:val="00EB44C4"/>
    <w:rPr>
      <w:sz w:val="18"/>
      <w:szCs w:val="18"/>
    </w:rPr>
  </w:style>
  <w:style w:type="table" w:styleId="a5">
    <w:name w:val="Table Grid"/>
    <w:basedOn w:val="a1"/>
    <w:uiPriority w:val="59"/>
    <w:qFormat/>
    <w:rsid w:val="00EB44C4"/>
    <w:rPr>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line number"/>
    <w:basedOn w:val="a0"/>
    <w:uiPriority w:val="99"/>
    <w:semiHidden/>
    <w:unhideWhenUsed/>
    <w:rsid w:val="00EB4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2183</Words>
  <Characters>12445</Characters>
  <Application>Microsoft Office Word</Application>
  <DocSecurity>0</DocSecurity>
  <Lines>103</Lines>
  <Paragraphs>29</Paragraphs>
  <ScaleCrop>false</ScaleCrop>
  <Company/>
  <LinksUpToDate>false</LinksUpToDate>
  <CharactersWithSpaces>14599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3</cp:revision>
  <dcterms:created xsi:type="dcterms:W3CDTF">2026-10-03T08:50:00Z</dcterms:created>
  <dcterms:modified xsi:type="dcterms:W3CDTF">2026-10-03T09:02:00Z</dcterms:modified>
</cp:coreProperties>
</file>