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5540E6" w:rsidRDefault="005540E6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5540E6">
        <w:rPr>
          <w:rFonts w:ascii="Times New Roman" w:hAnsi="Times New Roman" w:cs="Times New Roman"/>
          <w:b/>
          <w:bCs/>
          <w:sz w:val="30"/>
          <w:szCs w:val="30"/>
        </w:rPr>
        <w:t xml:space="preserve">A new luciferase </w:t>
      </w:r>
      <w:proofErr w:type="spellStart"/>
      <w:r w:rsidRPr="005540E6">
        <w:rPr>
          <w:rFonts w:ascii="Times New Roman" w:hAnsi="Times New Roman" w:cs="Times New Roman"/>
          <w:b/>
          <w:bCs/>
          <w:sz w:val="30"/>
          <w:szCs w:val="30"/>
        </w:rPr>
        <w:t>immunoprecipitation</w:t>
      </w:r>
      <w:proofErr w:type="spellEnd"/>
      <w:r w:rsidRPr="005540E6">
        <w:rPr>
          <w:rFonts w:ascii="Times New Roman" w:hAnsi="Times New Roman" w:cs="Times New Roman"/>
          <w:b/>
          <w:bCs/>
          <w:sz w:val="30"/>
          <w:szCs w:val="30"/>
        </w:rPr>
        <w:t xml:space="preserve"> system assay provided serological evidence for missed diagnosis of severe fever with thrombocytopenia syndrome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color w:val="000000"/>
          <w:szCs w:val="21"/>
        </w:rPr>
      </w:pP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Shengyao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Chen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1, 3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Minjun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Xu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4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Xiaoli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Wu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Yuan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Bai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Junming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Shi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Min Zhou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Qiaoli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Wu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Shuang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Tang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Fei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Deng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1*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Bo Qin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2, 4 *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,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Shu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proofErr w:type="spellStart"/>
      <w:r w:rsidRPr="005540E6">
        <w:rPr>
          <w:rFonts w:ascii="Times New Roman" w:hAnsi="Times New Roman" w:cs="Times New Roman"/>
          <w:b/>
          <w:color w:val="000000"/>
          <w:szCs w:val="21"/>
        </w:rPr>
        <w:t>Shen</w:t>
      </w:r>
      <w:proofErr w:type="spellEnd"/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 w:rsidRPr="005540E6">
        <w:rPr>
          <w:rFonts w:ascii="Times New Roman" w:hAnsi="Times New Roman" w:cs="Times New Roman"/>
          <w:b/>
          <w:color w:val="000000"/>
          <w:szCs w:val="21"/>
          <w:vertAlign w:val="superscript"/>
        </w:rPr>
        <w:t>1*</w:t>
      </w:r>
      <w:r w:rsidRPr="005540E6">
        <w:rPr>
          <w:rFonts w:ascii="Times New Roman" w:hAnsi="Times New Roman" w:cs="Times New Roman"/>
          <w:b/>
          <w:color w:val="000000"/>
          <w:szCs w:val="21"/>
        </w:rPr>
        <w:t xml:space="preserve"> </w:t>
      </w:r>
    </w:p>
    <w:p w:rsidR="005540E6" w:rsidRP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:rsidR="005540E6" w:rsidRPr="005540E6" w:rsidRDefault="005540E6" w:rsidP="005540E6">
      <w:pPr>
        <w:widowControl/>
        <w:adjustRightInd w:val="0"/>
        <w:snapToGrid w:val="0"/>
        <w:rPr>
          <w:rFonts w:ascii="Times New Roman" w:hAnsi="Times New Roman" w:cs="Times New Roman"/>
          <w:i/>
          <w:color w:val="000000"/>
          <w:szCs w:val="21"/>
        </w:rPr>
      </w:pPr>
      <w:r w:rsidRPr="005540E6">
        <w:rPr>
          <w:rFonts w:ascii="Times New Roman" w:hAnsi="Times New Roman" w:cs="Times New Roman"/>
          <w:i/>
          <w:color w:val="000000"/>
          <w:szCs w:val="21"/>
        </w:rPr>
        <w:t>1 State Key Laboratory of virology and National Virus Resource Center, Wuhan Institute of Virology, Chinese Academy of Sciences, Wuhan 430071, China;</w:t>
      </w:r>
    </w:p>
    <w:p w:rsidR="005540E6" w:rsidRPr="005540E6" w:rsidRDefault="005540E6" w:rsidP="005540E6">
      <w:pPr>
        <w:widowControl/>
        <w:adjustRightInd w:val="0"/>
        <w:snapToGrid w:val="0"/>
        <w:rPr>
          <w:rFonts w:ascii="Times New Roman" w:hAnsi="Times New Roman" w:cs="Times New Roman"/>
          <w:i/>
          <w:color w:val="000000"/>
          <w:szCs w:val="21"/>
        </w:rPr>
      </w:pPr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2 </w:t>
      </w:r>
      <w:proofErr w:type="spellStart"/>
      <w:r w:rsidRPr="005540E6">
        <w:rPr>
          <w:rFonts w:ascii="Times New Roman" w:hAnsi="Times New Roman" w:cs="Times New Roman"/>
          <w:i/>
          <w:color w:val="000000"/>
          <w:szCs w:val="21"/>
        </w:rPr>
        <w:t>Shaoxing</w:t>
      </w:r>
      <w:proofErr w:type="spellEnd"/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 Women and Children’s Hospital, No. 305 East Street Road, </w:t>
      </w:r>
      <w:proofErr w:type="spellStart"/>
      <w:r w:rsidRPr="005540E6">
        <w:rPr>
          <w:rFonts w:ascii="Times New Roman" w:hAnsi="Times New Roman" w:cs="Times New Roman"/>
          <w:i/>
          <w:color w:val="000000"/>
          <w:szCs w:val="21"/>
        </w:rPr>
        <w:t>Shaoxing</w:t>
      </w:r>
      <w:proofErr w:type="spellEnd"/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 312000, China</w:t>
      </w:r>
    </w:p>
    <w:p w:rsidR="005540E6" w:rsidRPr="005540E6" w:rsidRDefault="005540E6" w:rsidP="005540E6">
      <w:pPr>
        <w:widowControl/>
        <w:adjustRightInd w:val="0"/>
        <w:snapToGrid w:val="0"/>
        <w:rPr>
          <w:rFonts w:ascii="Times New Roman" w:hAnsi="Times New Roman" w:cs="Times New Roman"/>
          <w:i/>
          <w:color w:val="000000"/>
          <w:szCs w:val="21"/>
        </w:rPr>
      </w:pPr>
      <w:r w:rsidRPr="005540E6">
        <w:rPr>
          <w:rFonts w:ascii="Times New Roman" w:hAnsi="Times New Roman" w:cs="Times New Roman"/>
          <w:i/>
          <w:color w:val="000000"/>
          <w:szCs w:val="21"/>
        </w:rPr>
        <w:t>3 University of Chinese Academy of Sciences, Beijing 100049, China</w:t>
      </w:r>
    </w:p>
    <w:p w:rsidR="005540E6" w:rsidRPr="005540E6" w:rsidRDefault="005540E6" w:rsidP="005540E6">
      <w:pPr>
        <w:widowControl/>
        <w:adjustRightInd w:val="0"/>
        <w:snapToGrid w:val="0"/>
        <w:rPr>
          <w:rFonts w:ascii="Times New Roman" w:hAnsi="Times New Roman" w:cs="Times New Roman"/>
          <w:i/>
          <w:color w:val="000000"/>
          <w:szCs w:val="21"/>
        </w:rPr>
      </w:pPr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4 </w:t>
      </w:r>
      <w:proofErr w:type="spellStart"/>
      <w:r w:rsidRPr="005540E6">
        <w:rPr>
          <w:rFonts w:ascii="Times New Roman" w:hAnsi="Times New Roman" w:cs="Times New Roman"/>
          <w:i/>
          <w:color w:val="000000"/>
          <w:szCs w:val="21"/>
        </w:rPr>
        <w:t>Shaoxing</w:t>
      </w:r>
      <w:proofErr w:type="spellEnd"/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 People's Hospital, Zhejiang University School of Medicine, </w:t>
      </w:r>
      <w:proofErr w:type="spellStart"/>
      <w:r w:rsidRPr="005540E6">
        <w:rPr>
          <w:rFonts w:ascii="Times New Roman" w:hAnsi="Times New Roman" w:cs="Times New Roman"/>
          <w:i/>
          <w:color w:val="000000"/>
          <w:szCs w:val="21"/>
        </w:rPr>
        <w:t>Shaoxing</w:t>
      </w:r>
      <w:proofErr w:type="spellEnd"/>
      <w:r w:rsidRPr="005540E6">
        <w:rPr>
          <w:rFonts w:ascii="Times New Roman" w:hAnsi="Times New Roman" w:cs="Times New Roman"/>
          <w:i/>
          <w:color w:val="000000"/>
          <w:szCs w:val="21"/>
        </w:rPr>
        <w:t xml:space="preserve"> 312000, China</w:t>
      </w:r>
    </w:p>
    <w:p w:rsidR="005540E6" w:rsidRP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5540E6" w:rsidRP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author.</w:t>
      </w:r>
    </w:p>
    <w:p w:rsidR="005540E6" w:rsidRP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5540E6">
        <w:rPr>
          <w:rFonts w:ascii="Times New Roman" w:hAnsi="Times New Roman" w:cs="Times New Roman"/>
          <w:color w:val="000000"/>
          <w:sz w:val="22"/>
        </w:rPr>
        <w:t xml:space="preserve">Email: shenshu@wh.iov.cn (S. </w:t>
      </w:r>
      <w:proofErr w:type="spellStart"/>
      <w:r w:rsidRPr="005540E6">
        <w:rPr>
          <w:rFonts w:ascii="Times New Roman" w:hAnsi="Times New Roman" w:cs="Times New Roman"/>
          <w:color w:val="000000"/>
          <w:sz w:val="22"/>
        </w:rPr>
        <w:t>Shen</w:t>
      </w:r>
      <w:proofErr w:type="spellEnd"/>
      <w:r w:rsidRPr="005540E6">
        <w:rPr>
          <w:rFonts w:ascii="Times New Roman" w:hAnsi="Times New Roman" w:cs="Times New Roman"/>
          <w:color w:val="000000"/>
          <w:sz w:val="22"/>
        </w:rPr>
        <w:t>), ORCID: 0000-0002-0013-5365</w:t>
      </w:r>
    </w:p>
    <w:p w:rsidR="005540E6" w:rsidRPr="005540E6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5540E6">
        <w:rPr>
          <w:rFonts w:ascii="Times New Roman" w:hAnsi="Times New Roman" w:cs="Times New Roman"/>
          <w:color w:val="000000"/>
          <w:sz w:val="22"/>
        </w:rPr>
        <w:t>Email:qinbo0809@hotmail.com (B. Qin), ORCID: 0000-0003-2476-7903</w:t>
      </w:r>
    </w:p>
    <w:p w:rsidR="008358B6" w:rsidRPr="008575EF" w:rsidRDefault="005540E6" w:rsidP="005540E6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5540E6">
        <w:rPr>
          <w:rFonts w:ascii="Times New Roman" w:hAnsi="Times New Roman" w:cs="Times New Roman"/>
          <w:color w:val="000000"/>
          <w:sz w:val="22"/>
        </w:rPr>
        <w:t>Email: df@wh.iov.cn (F. Deng), ORCID: 0000-0002-5385-083X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535A8" w:rsidRPr="008575EF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p w:rsidR="005540E6" w:rsidRPr="005540E6" w:rsidRDefault="005540E6" w:rsidP="005540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40E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50E2788" wp14:editId="6B0F8BC8">
            <wp:extent cx="6120000" cy="3284806"/>
            <wp:effectExtent l="0" t="0" r="0" b="0"/>
            <wp:docPr id="1" name="图片 1" descr="C:\Users\dell\AppData\Roaming\Tencent\Users\85516321\QQ\WinTemp\RichOle\~21S~J{V_3S(02XPC8F6N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85516321\QQ\WinTemp\RichOle\~21S~J{V_3S(02XPC8F6NL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E6" w:rsidRPr="005540E6" w:rsidRDefault="005540E6" w:rsidP="005540E6">
      <w:pPr>
        <w:widowControl/>
        <w:jc w:val="left"/>
        <w:rPr>
          <w:rFonts w:ascii="Times New Roman" w:eastAsia="等线" w:hAnsi="Times New Roman" w:cs="Times New Roman"/>
          <w:b/>
          <w:sz w:val="22"/>
        </w:rPr>
      </w:pPr>
    </w:p>
    <w:p w:rsidR="005540E6" w:rsidRPr="005540E6" w:rsidRDefault="005540E6" w:rsidP="005540E6">
      <w:pPr>
        <w:spacing w:line="480" w:lineRule="auto"/>
        <w:rPr>
          <w:rFonts w:ascii="Times New Roman" w:eastAsia="等线" w:hAnsi="Times New Roman" w:cs="Times New Roman"/>
          <w:color w:val="000000"/>
          <w:kern w:val="24"/>
          <w:sz w:val="22"/>
        </w:rPr>
      </w:pPr>
      <w:proofErr w:type="spellStart"/>
      <w:r w:rsidRPr="005540E6">
        <w:rPr>
          <w:rFonts w:ascii="Times New Roman" w:eastAsia="等线" w:hAnsi="Times New Roman" w:cs="Times New Roman" w:hint="eastAsia"/>
          <w:b/>
          <w:bCs/>
          <w:color w:val="000000"/>
          <w:kern w:val="24"/>
          <w:sz w:val="22"/>
          <w:lang w:eastAsia="en-GB"/>
        </w:rPr>
        <w:t>F</w:t>
      </w:r>
      <w:r w:rsidRPr="005540E6">
        <w:rPr>
          <w:rFonts w:ascii="Times New Roman" w:eastAsia="等线" w:hAnsi="Times New Roman" w:cs="Times New Roman"/>
          <w:b/>
          <w:bCs/>
          <w:color w:val="000000"/>
          <w:kern w:val="24"/>
          <w:sz w:val="22"/>
          <w:lang w:eastAsia="en-GB"/>
        </w:rPr>
        <w:t>igrue</w:t>
      </w:r>
      <w:proofErr w:type="spellEnd"/>
      <w:r w:rsidRPr="005540E6">
        <w:rPr>
          <w:rFonts w:ascii="Times New Roman" w:eastAsia="等线" w:hAnsi="Times New Roman" w:cs="Times New Roman"/>
          <w:b/>
          <w:bCs/>
          <w:color w:val="000000"/>
          <w:kern w:val="24"/>
          <w:sz w:val="22"/>
          <w:lang w:eastAsia="en-GB"/>
        </w:rPr>
        <w:t xml:space="preserve"> S1</w:t>
      </w:r>
      <w:r w:rsidRPr="005540E6">
        <w:rPr>
          <w:rFonts w:ascii="Times New Roman" w:eastAsia="等线" w:hAnsi="Times New Roman" w:cs="Times New Roman"/>
          <w:color w:val="000000"/>
          <w:kern w:val="24"/>
          <w:sz w:val="22"/>
          <w:lang w:eastAsia="en-GB"/>
        </w:rPr>
        <w:t xml:space="preserve"> </w:t>
      </w:r>
      <w:proofErr w:type="spellStart"/>
      <w:r w:rsidRPr="005540E6">
        <w:rPr>
          <w:rFonts w:ascii="Times New Roman" w:eastAsia="等线" w:hAnsi="Times New Roman" w:cs="Times New Roman"/>
          <w:color w:val="000000"/>
          <w:kern w:val="24"/>
          <w:sz w:val="22"/>
          <w:lang w:eastAsia="en-GB"/>
        </w:rPr>
        <w:t>IgM</w:t>
      </w:r>
      <w:proofErr w:type="spellEnd"/>
      <w:r w:rsidRPr="005540E6">
        <w:rPr>
          <w:rFonts w:ascii="Times New Roman" w:eastAsia="等线" w:hAnsi="Times New Roman" w:cs="Times New Roman"/>
          <w:color w:val="000000"/>
          <w:kern w:val="24"/>
          <w:sz w:val="22"/>
          <w:lang w:eastAsia="en-GB"/>
        </w:rPr>
        <w:t xml:space="preserve"> and </w:t>
      </w:r>
      <w:proofErr w:type="spellStart"/>
      <w:r w:rsidRPr="005540E6">
        <w:rPr>
          <w:rFonts w:ascii="Times New Roman" w:eastAsia="等线" w:hAnsi="Times New Roman" w:cs="Times New Roman"/>
          <w:color w:val="000000"/>
          <w:kern w:val="24"/>
          <w:sz w:val="22"/>
          <w:lang w:eastAsia="en-GB"/>
        </w:rPr>
        <w:t>IgG</w:t>
      </w:r>
      <w:proofErr w:type="spellEnd"/>
      <w:r w:rsidRPr="005540E6">
        <w:rPr>
          <w:rFonts w:ascii="Times New Roman" w:eastAsia="等线" w:hAnsi="Times New Roman" w:cs="Times New Roman"/>
          <w:color w:val="000000"/>
          <w:kern w:val="24"/>
          <w:sz w:val="22"/>
          <w:lang w:eastAsia="en-GB"/>
        </w:rPr>
        <w:t xml:space="preserve"> response to SFTSV in the serum samples from febrile patients were confirmed by IFAs. Images of representative samples were shown, including seven LIPS-positive samples, two LIPS-negative samples and one healthy donor samples. Samples having neutralization against SFTSV were indicated by a superscript pound sign in red.</w:t>
      </w:r>
      <w:r w:rsidRPr="005540E6">
        <w:rPr>
          <w:rFonts w:ascii="Times New Roman" w:eastAsia="等线" w:hAnsi="Times New Roman" w:cs="Times New Roman" w:hint="eastAsia"/>
          <w:color w:val="000000"/>
          <w:kern w:val="24"/>
          <w:sz w:val="22"/>
        </w:rPr>
        <w:t xml:space="preserve"> </w:t>
      </w:r>
      <w:r w:rsidRPr="005540E6">
        <w:rPr>
          <w:rFonts w:ascii="Times New Roman" w:eastAsia="等线" w:hAnsi="Times New Roman" w:cs="Times New Roman"/>
          <w:color w:val="000000"/>
          <w:kern w:val="24"/>
          <w:sz w:val="22"/>
        </w:rPr>
        <w:t xml:space="preserve">Scale bar =400 </w:t>
      </w:r>
      <w:proofErr w:type="spellStart"/>
      <w:r w:rsidRPr="005540E6">
        <w:rPr>
          <w:rFonts w:ascii="Times New Roman" w:eastAsia="等线" w:hAnsi="Times New Roman" w:cs="Times New Roman"/>
          <w:color w:val="000000"/>
          <w:kern w:val="24"/>
          <w:sz w:val="22"/>
        </w:rPr>
        <w:t>μm</w:t>
      </w:r>
      <w:proofErr w:type="spellEnd"/>
      <w:r w:rsidRPr="005540E6">
        <w:rPr>
          <w:rFonts w:ascii="Times New Roman" w:eastAsia="等线" w:hAnsi="Times New Roman" w:cs="Times New Roman" w:hint="eastAsia"/>
          <w:color w:val="000000"/>
          <w:kern w:val="24"/>
          <w:sz w:val="22"/>
        </w:rPr>
        <w:t>.</w:t>
      </w:r>
    </w:p>
    <w:p w:rsidR="005540E6" w:rsidRPr="005540E6" w:rsidRDefault="005540E6" w:rsidP="005540E6">
      <w:pPr>
        <w:widowControl/>
        <w:jc w:val="left"/>
        <w:rPr>
          <w:rFonts w:ascii="Times New Roman" w:eastAsia="等线" w:hAnsi="Times New Roman" w:cs="Times New Roman"/>
          <w:b/>
          <w:sz w:val="22"/>
        </w:rPr>
        <w:sectPr w:rsidR="005540E6" w:rsidRPr="005540E6" w:rsidSect="001B280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5540E6" w:rsidRPr="005540E6" w:rsidRDefault="005540E6" w:rsidP="005540E6">
      <w:pPr>
        <w:rPr>
          <w:rFonts w:ascii="Times New Roman" w:eastAsia="等线" w:hAnsi="Times New Roman" w:cs="Times New Roman"/>
          <w:sz w:val="22"/>
        </w:rPr>
      </w:pPr>
      <w:r w:rsidRPr="005540E6">
        <w:rPr>
          <w:rFonts w:ascii="Times New Roman" w:eastAsia="等线" w:hAnsi="Times New Roman" w:cs="Times New Roman"/>
          <w:b/>
          <w:sz w:val="22"/>
        </w:rPr>
        <w:lastRenderedPageBreak/>
        <w:t xml:space="preserve">Table </w:t>
      </w:r>
      <w:r w:rsidRPr="005540E6">
        <w:rPr>
          <w:rFonts w:ascii="Times New Roman" w:eastAsia="等线" w:hAnsi="Times New Roman" w:cs="Times New Roman" w:hint="eastAsia"/>
          <w:b/>
          <w:sz w:val="22"/>
        </w:rPr>
        <w:t>S1</w:t>
      </w:r>
      <w:r w:rsidRPr="005540E6">
        <w:rPr>
          <w:rFonts w:ascii="Times New Roman" w:eastAsia="等线" w:hAnsi="Times New Roman" w:cs="Times New Roman"/>
          <w:sz w:val="22"/>
        </w:rPr>
        <w:t xml:space="preserve"> </w:t>
      </w:r>
      <w:r w:rsidRPr="005540E6">
        <w:rPr>
          <w:rFonts w:ascii="Times New Roman" w:eastAsia="等线" w:hAnsi="Times New Roman" w:cs="Times New Roman" w:hint="eastAsia"/>
          <w:sz w:val="22"/>
        </w:rPr>
        <w:t>Gender, age, and the time post illness onset</w:t>
      </w:r>
      <w:r w:rsidRPr="005540E6">
        <w:rPr>
          <w:rFonts w:ascii="Times New Roman" w:eastAsia="等线" w:hAnsi="Times New Roman" w:cs="Times New Roman"/>
          <w:sz w:val="22"/>
        </w:rPr>
        <w:t xml:space="preserve"> of </w:t>
      </w:r>
      <w:r w:rsidRPr="005540E6">
        <w:rPr>
          <w:rFonts w:ascii="Times New Roman" w:eastAsia="等线" w:hAnsi="Times New Roman" w:cs="Times New Roman" w:hint="eastAsia"/>
          <w:sz w:val="22"/>
        </w:rPr>
        <w:t xml:space="preserve">the 82 </w:t>
      </w:r>
      <w:r w:rsidRPr="005540E6">
        <w:rPr>
          <w:rFonts w:ascii="Times New Roman" w:eastAsia="等线" w:hAnsi="Times New Roman" w:cs="Times New Roman"/>
          <w:sz w:val="22"/>
        </w:rPr>
        <w:t>febrile patients</w:t>
      </w:r>
      <w:r w:rsidRPr="005540E6">
        <w:rPr>
          <w:rFonts w:ascii="Times New Roman" w:eastAsia="等线" w:hAnsi="Times New Roman" w:cs="Times New Roman" w:hint="eastAsia"/>
          <w:sz w:val="22"/>
        </w:rPr>
        <w:t xml:space="preserve"> having anti-SFTSV antibody as tested by LIPS</w:t>
      </w:r>
      <w:r w:rsidRPr="005540E6">
        <w:rPr>
          <w:rFonts w:ascii="Times New Roman" w:eastAsia="等线" w:hAnsi="Times New Roman" w:cs="Times New Roman"/>
          <w:sz w:val="22"/>
        </w:rPr>
        <w:t xml:space="preserve"> </w:t>
      </w:r>
    </w:p>
    <w:tbl>
      <w:tblPr>
        <w:tblW w:w="501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0"/>
        <w:gridCol w:w="1629"/>
        <w:gridCol w:w="2897"/>
        <w:gridCol w:w="2371"/>
      </w:tblGrid>
      <w:tr w:rsidR="005540E6" w:rsidRPr="005540E6" w:rsidTr="0064197A">
        <w:trPr>
          <w:trHeight w:val="438"/>
        </w:trPr>
        <w:tc>
          <w:tcPr>
            <w:tcW w:w="23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Anti-</w:t>
            </w: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SFSTV positive </w:t>
            </w:r>
            <w:r w:rsidRPr="005540E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patients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 w:hint="eastAsia"/>
                <w:kern w:val="0"/>
                <w:sz w:val="22"/>
              </w:rPr>
              <w:t>Positive samples (n, %)</w:t>
            </w:r>
          </w:p>
        </w:tc>
        <w:tc>
          <w:tcPr>
            <w:tcW w:w="1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P</w:t>
            </w: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value</w:t>
            </w: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Gender</w:t>
            </w:r>
          </w:p>
        </w:tc>
        <w:tc>
          <w:tcPr>
            <w:tcW w:w="81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Male</w:t>
            </w:r>
          </w:p>
        </w:tc>
        <w:tc>
          <w:tcPr>
            <w:tcW w:w="145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47, 10.1%</w:t>
            </w:r>
          </w:p>
        </w:tc>
        <w:tc>
          <w:tcPr>
            <w:tcW w:w="119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  <w:t>0.033</w:t>
            </w: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Female</w:t>
            </w:r>
          </w:p>
        </w:tc>
        <w:tc>
          <w:tcPr>
            <w:tcW w:w="145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35, 7.5%</w:t>
            </w:r>
          </w:p>
        </w:tc>
        <w:tc>
          <w:tcPr>
            <w:tcW w:w="119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000000"/>
                <w:kern w:val="24"/>
                <w:sz w:val="22"/>
              </w:rPr>
            </w:pP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Age</w:t>
            </w:r>
          </w:p>
        </w:tc>
        <w:tc>
          <w:tcPr>
            <w:tcW w:w="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21–40</w:t>
            </w:r>
          </w:p>
        </w:tc>
        <w:tc>
          <w:tcPr>
            <w:tcW w:w="14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13, 2.8%</w:t>
            </w:r>
          </w:p>
        </w:tc>
        <w:tc>
          <w:tcPr>
            <w:tcW w:w="119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&lt;0.001</w:t>
            </w: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1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41–60</w:t>
            </w:r>
          </w:p>
        </w:tc>
        <w:tc>
          <w:tcPr>
            <w:tcW w:w="145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13, 2.8%</w:t>
            </w:r>
          </w:p>
        </w:tc>
        <w:tc>
          <w:tcPr>
            <w:tcW w:w="1192" w:type="pct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≥ 61</w:t>
            </w:r>
          </w:p>
        </w:tc>
        <w:tc>
          <w:tcPr>
            <w:tcW w:w="14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56, 12.1%</w:t>
            </w:r>
          </w:p>
        </w:tc>
        <w:tc>
          <w:tcPr>
            <w:tcW w:w="119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Day post illness </w:t>
            </w:r>
            <w:proofErr w:type="spellStart"/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onset</w:t>
            </w:r>
            <w:r w:rsidRPr="005540E6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81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1–7</w:t>
            </w:r>
          </w:p>
        </w:tc>
        <w:tc>
          <w:tcPr>
            <w:tcW w:w="145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46, 9.9%</w:t>
            </w:r>
          </w:p>
        </w:tc>
        <w:tc>
          <w:tcPr>
            <w:tcW w:w="119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&lt;0.001</w:t>
            </w: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8–14</w:t>
            </w:r>
          </w:p>
        </w:tc>
        <w:tc>
          <w:tcPr>
            <w:tcW w:w="145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8, 1.7%</w:t>
            </w:r>
          </w:p>
        </w:tc>
        <w:tc>
          <w:tcPr>
            <w:tcW w:w="119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1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15–21</w:t>
            </w:r>
          </w:p>
        </w:tc>
        <w:tc>
          <w:tcPr>
            <w:tcW w:w="1456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12, 2.6%</w:t>
            </w:r>
          </w:p>
        </w:tc>
        <w:tc>
          <w:tcPr>
            <w:tcW w:w="119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540E6" w:rsidRPr="005540E6" w:rsidTr="0064197A">
        <w:trPr>
          <w:trHeight w:val="185"/>
        </w:trPr>
        <w:tc>
          <w:tcPr>
            <w:tcW w:w="153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</w:pPr>
            <w:r w:rsidRPr="005540E6">
              <w:rPr>
                <w:rFonts w:ascii="Times New Roman" w:eastAsia="等线" w:hAnsi="Times New Roman" w:cs="Times New Roman"/>
                <w:color w:val="000000"/>
                <w:kern w:val="24"/>
                <w:sz w:val="22"/>
              </w:rPr>
              <w:t>&gt;3 week</w:t>
            </w:r>
            <w:r w:rsidRPr="005540E6">
              <w:rPr>
                <w:rFonts w:ascii="Times New Roman" w:eastAsia="等线" w:hAnsi="Times New Roman" w:cs="Times New Roman" w:hint="eastAsia"/>
                <w:color w:val="000000"/>
                <w:kern w:val="24"/>
                <w:sz w:val="22"/>
              </w:rPr>
              <w:t>s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40E6" w:rsidRPr="005540E6" w:rsidRDefault="005540E6" w:rsidP="005540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5540E6">
              <w:rPr>
                <w:rFonts w:ascii="Times New Roman" w:eastAsia="宋体" w:hAnsi="Times New Roman" w:cs="Times New Roman"/>
                <w:kern w:val="0"/>
                <w:sz w:val="22"/>
              </w:rPr>
              <w:t>10, 2.2%</w:t>
            </w:r>
          </w:p>
        </w:tc>
        <w:tc>
          <w:tcPr>
            <w:tcW w:w="119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40E6" w:rsidRPr="005540E6" w:rsidRDefault="005540E6" w:rsidP="005540E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5540E6" w:rsidRPr="005540E6" w:rsidRDefault="005540E6" w:rsidP="005540E6">
      <w:pPr>
        <w:rPr>
          <w:rFonts w:ascii="Times New Roman" w:eastAsia="等线" w:hAnsi="Times New Roman" w:cs="Times New Roman"/>
          <w:sz w:val="22"/>
        </w:rPr>
      </w:pPr>
      <w:proofErr w:type="spellStart"/>
      <w:proofErr w:type="gramStart"/>
      <w:r w:rsidRPr="005540E6">
        <w:rPr>
          <w:rFonts w:ascii="Times New Roman" w:eastAsia="等线" w:hAnsi="Times New Roman" w:cs="Times New Roman"/>
          <w:sz w:val="22"/>
          <w:vertAlign w:val="superscript"/>
        </w:rPr>
        <w:t>a</w:t>
      </w:r>
      <w:proofErr w:type="spellEnd"/>
      <w:proofErr w:type="gramEnd"/>
      <w:r w:rsidRPr="005540E6">
        <w:rPr>
          <w:rFonts w:ascii="Times New Roman" w:eastAsia="等线" w:hAnsi="Times New Roman" w:cs="Times New Roman"/>
          <w:sz w:val="22"/>
        </w:rPr>
        <w:t xml:space="preserve"> </w:t>
      </w:r>
      <w:r w:rsidRPr="005540E6">
        <w:rPr>
          <w:rFonts w:ascii="Times New Roman" w:eastAsia="等线" w:hAnsi="Times New Roman" w:cs="Times New Roman" w:hint="eastAsia"/>
          <w:sz w:val="22"/>
        </w:rPr>
        <w:t xml:space="preserve">The days post illness onset was </w:t>
      </w:r>
      <w:proofErr w:type="spellStart"/>
      <w:r w:rsidRPr="005540E6">
        <w:rPr>
          <w:rFonts w:ascii="Times New Roman" w:eastAsia="等线" w:hAnsi="Times New Roman" w:cs="Times New Roman" w:hint="eastAsia"/>
          <w:sz w:val="22"/>
        </w:rPr>
        <w:t>analysed</w:t>
      </w:r>
      <w:proofErr w:type="spellEnd"/>
      <w:r w:rsidRPr="005540E6">
        <w:rPr>
          <w:rFonts w:ascii="Times New Roman" w:eastAsia="等线" w:hAnsi="Times New Roman" w:cs="Times New Roman" w:hint="eastAsia"/>
          <w:sz w:val="22"/>
        </w:rPr>
        <w:t xml:space="preserve"> based on 76 patients with </w:t>
      </w:r>
      <w:r w:rsidRPr="005540E6">
        <w:rPr>
          <w:rFonts w:ascii="Times New Roman" w:eastAsia="等线" w:hAnsi="Times New Roman" w:cs="Times New Roman"/>
          <w:sz w:val="22"/>
        </w:rPr>
        <w:t>detailed</w:t>
      </w:r>
      <w:r w:rsidRPr="005540E6">
        <w:rPr>
          <w:rFonts w:ascii="Times New Roman" w:eastAsia="等线" w:hAnsi="Times New Roman" w:cs="Times New Roman" w:hint="eastAsia"/>
          <w:sz w:val="22"/>
        </w:rPr>
        <w:t xml:space="preserve"> records</w:t>
      </w:r>
      <w:r w:rsidRPr="005540E6">
        <w:rPr>
          <w:rFonts w:ascii="Times New Roman" w:eastAsia="等线" w:hAnsi="Times New Roman" w:cs="Times New Roman"/>
          <w:sz w:val="22"/>
        </w:rPr>
        <w:t>.</w:t>
      </w:r>
    </w:p>
    <w:p w:rsidR="000741BA" w:rsidRPr="005540E6" w:rsidRDefault="000741BA" w:rsidP="000741BA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0741BA" w:rsidRPr="005540E6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F9" w:rsidRDefault="00A873F9" w:rsidP="000761B5">
      <w:r>
        <w:separator/>
      </w:r>
    </w:p>
  </w:endnote>
  <w:endnote w:type="continuationSeparator" w:id="0">
    <w:p w:rsidR="00A873F9" w:rsidRDefault="00A873F9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F9" w:rsidRDefault="00A873F9" w:rsidP="000761B5">
      <w:r>
        <w:separator/>
      </w:r>
    </w:p>
  </w:footnote>
  <w:footnote w:type="continuationSeparator" w:id="0">
    <w:p w:rsidR="00A873F9" w:rsidRDefault="00A873F9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540E6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540E6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40E6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1374A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873F9"/>
    <w:rsid w:val="00AA4A06"/>
    <w:rsid w:val="00AB7513"/>
    <w:rsid w:val="00B104D8"/>
    <w:rsid w:val="00B12E3E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1546</Characters>
  <Application>Microsoft Office Word</Application>
  <DocSecurity>0</DocSecurity>
  <Lines>12</Lines>
  <Paragraphs>3</Paragraphs>
  <ScaleCrop>false</ScaleCrop>
  <Company>whiov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2022-01-04T07:37:00Z</cp:lastPrinted>
  <dcterms:created xsi:type="dcterms:W3CDTF">2022-01-13T03:42:00Z</dcterms:created>
  <dcterms:modified xsi:type="dcterms:W3CDTF">2022-01-13T03:52:00Z</dcterms:modified>
</cp:coreProperties>
</file>