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bookmarkEnd w:id="0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 Sinica</w:t>
      </w:r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BC7B9F" w:rsidRDefault="000E58EE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0E58EE">
        <w:rPr>
          <w:rFonts w:ascii="Times New Roman" w:hAnsi="Times New Roman" w:cs="Times New Roman"/>
          <w:b/>
          <w:bCs/>
          <w:sz w:val="30"/>
          <w:szCs w:val="30"/>
        </w:rPr>
        <w:t>OGG1 inhibition suppresses African swine fever virus replication</w:t>
      </w:r>
    </w:p>
    <w:p w:rsidR="002C606F" w:rsidRPr="00BC7B9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0E58EE" w:rsidRPr="00225839" w:rsidRDefault="000E58EE" w:rsidP="000E58EE">
      <w:pPr>
        <w:jc w:val="left"/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</w:pP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Jie Fan</w:t>
      </w:r>
      <w:r w:rsidRPr="00225839">
        <w:rPr>
          <w:rFonts w:ascii="Times New Roman" w:hAnsi="Times New Roman" w:cs="Times New Roman"/>
          <w:b/>
          <w:szCs w:val="21"/>
          <w:vertAlign w:val="superscript"/>
        </w:rPr>
        <w:t>a,b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 Xinqian Lv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b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 Saixia Yang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b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 Shuxian Geng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a,</w:t>
      </w:r>
      <w:r w:rsidRPr="00225839">
        <w:rPr>
          <w:rFonts w:ascii="Times New Roman" w:hAnsi="Times New Roman" w:cs="Times New Roman"/>
          <w:b/>
          <w:szCs w:val="21"/>
          <w:vertAlign w:val="superscript"/>
        </w:rPr>
        <w:t>b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 Jifei Yang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b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 Yaru Zhao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b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 Zhonghui Zhang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b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 Zhijie Liu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b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 Guiquan Guan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b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 Jianxun Luo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b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 Qiaoying Zeng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a*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</w:t>
      </w:r>
      <w:r w:rsidRPr="00225839" w:rsidDel="00540556">
        <w:rPr>
          <w:rFonts w:ascii="Times New Roman" w:hAnsi="Times New Roman" w:cs="Times New Roman"/>
          <w:b/>
          <w:color w:val="000000" w:themeColor="text1"/>
          <w:szCs w:val="21"/>
        </w:rPr>
        <w:t xml:space="preserve"> 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Hong Yin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b,c</w:t>
      </w:r>
      <w:r w:rsidRPr="00225839">
        <w:rPr>
          <w:rFonts w:ascii="Times New Roman" w:hAnsi="Times New Roman" w:cs="Times New Roman"/>
          <w:b/>
          <w:color w:val="000000" w:themeColor="text1"/>
          <w:szCs w:val="21"/>
        </w:rPr>
        <w:t>, Qingli Niu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b</w:t>
      </w:r>
      <w:r w:rsidRPr="00225839">
        <w:rPr>
          <w:rFonts w:ascii="Times New Roman" w:hAnsi="Times New Roman" w:cs="Times New Roman" w:hint="eastAsia"/>
          <w:b/>
          <w:color w:val="000000" w:themeColor="text1"/>
          <w:szCs w:val="21"/>
          <w:vertAlign w:val="superscript"/>
        </w:rPr>
        <w:t>,</w:t>
      </w:r>
      <w:r w:rsidRPr="00225839">
        <w:rPr>
          <w:rFonts w:ascii="Times New Roman" w:hAnsi="Times New Roman" w:cs="Times New Roman"/>
          <w:b/>
          <w:color w:val="000000" w:themeColor="text1"/>
          <w:szCs w:val="21"/>
          <w:vertAlign w:val="superscript"/>
        </w:rPr>
        <w:t>*</w:t>
      </w:r>
    </w:p>
    <w:p w:rsidR="000E58EE" w:rsidRPr="00A56302" w:rsidRDefault="000E58EE" w:rsidP="000E58EE">
      <w:pPr>
        <w:jc w:val="left"/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</w:p>
    <w:p w:rsidR="000E58EE" w:rsidRPr="00225839" w:rsidRDefault="000E58EE" w:rsidP="000E58EE">
      <w:pPr>
        <w:rPr>
          <w:rFonts w:ascii="Times New Roman" w:hAnsi="Times New Roman" w:cs="Times New Roman"/>
          <w:i/>
          <w:color w:val="000000" w:themeColor="text1"/>
          <w:szCs w:val="21"/>
        </w:rPr>
      </w:pPr>
      <w:r w:rsidRPr="00225839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 xml:space="preserve">a </w:t>
      </w:r>
      <w:r w:rsidRPr="00225839">
        <w:rPr>
          <w:rFonts w:ascii="Times New Roman" w:hAnsi="Times New Roman" w:cs="Times New Roman"/>
          <w:i/>
          <w:color w:val="000000" w:themeColor="text1"/>
          <w:szCs w:val="21"/>
        </w:rPr>
        <w:t>College of Veterinary Medicine, Gansu Agricultural University, Lanzhou, 730070, China</w:t>
      </w:r>
    </w:p>
    <w:p w:rsidR="000E58EE" w:rsidRPr="00225839" w:rsidRDefault="000E58EE" w:rsidP="000E58EE">
      <w:pPr>
        <w:rPr>
          <w:rFonts w:ascii="Times New Roman" w:hAnsi="Times New Roman" w:cs="Times New Roman"/>
          <w:i/>
          <w:color w:val="000000" w:themeColor="text1"/>
          <w:szCs w:val="21"/>
        </w:rPr>
      </w:pPr>
      <w:r w:rsidRPr="00225839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 xml:space="preserve">b </w:t>
      </w:r>
      <w:r w:rsidRPr="00225839">
        <w:rPr>
          <w:rFonts w:ascii="Times New Roman" w:hAnsi="Times New Roman" w:cs="Times New Roman"/>
          <w:i/>
          <w:color w:val="000000" w:themeColor="text1"/>
          <w:szCs w:val="21"/>
        </w:rPr>
        <w:t>African Swine Fever Regional Laboratory, China (Lanzhou)</w:t>
      </w:r>
      <w:r w:rsidRPr="00225839">
        <w:rPr>
          <w:rFonts w:ascii="Times New Roman" w:hAnsi="Times New Roman" w:cs="Times New Roman" w:hint="eastAsia"/>
          <w:i/>
          <w:color w:val="000000" w:themeColor="text1"/>
          <w:szCs w:val="21"/>
        </w:rPr>
        <w:t>,</w:t>
      </w:r>
      <w:r w:rsidRPr="00225839">
        <w:rPr>
          <w:rFonts w:ascii="Times New Roman" w:hAnsi="Times New Roman" w:cs="Times New Roman"/>
          <w:i/>
          <w:color w:val="000000" w:themeColor="text1"/>
          <w:szCs w:val="21"/>
        </w:rPr>
        <w:t xml:space="preserve"> State Key Laboratory of Veterinary Etiological Biology, Key Laboratory of Veterinary Parasitology of Gansu Province, Lanzhou Veterinary Research Institute, Chinese Academy of Agricultural Sciences, Lanzhou, 730046, China </w:t>
      </w:r>
    </w:p>
    <w:p w:rsidR="000E58EE" w:rsidRPr="00225839" w:rsidRDefault="000E58EE" w:rsidP="000E58EE">
      <w:pPr>
        <w:rPr>
          <w:rFonts w:ascii="Times New Roman" w:hAnsi="Times New Roman" w:cs="Times New Roman"/>
          <w:i/>
          <w:color w:val="000000" w:themeColor="text1"/>
          <w:szCs w:val="21"/>
        </w:rPr>
      </w:pPr>
      <w:r w:rsidRPr="00225839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 xml:space="preserve">c </w:t>
      </w:r>
      <w:r w:rsidRPr="00225839">
        <w:rPr>
          <w:rFonts w:ascii="Times New Roman" w:hAnsi="Times New Roman" w:cs="Times New Roman"/>
          <w:i/>
          <w:color w:val="000000" w:themeColor="text1"/>
          <w:szCs w:val="21"/>
        </w:rPr>
        <w:t>Jiangsu Co-Innovation Center for the Prevention and Control of Important Animal Infectious Disease and Zoonosis, Yangzhou University, Yangzhou, 225009, China</w:t>
      </w:r>
    </w:p>
    <w:p w:rsidR="000E58EE" w:rsidRDefault="000E58EE" w:rsidP="000E58EE">
      <w:pPr>
        <w:rPr>
          <w:rFonts w:ascii="Times New Roman" w:hAnsi="Times New Roman" w:cs="Times New Roman"/>
          <w:color w:val="000000" w:themeColor="text1"/>
          <w:sz w:val="22"/>
        </w:rPr>
      </w:pPr>
    </w:p>
    <w:p w:rsidR="000E58EE" w:rsidRPr="00A56302" w:rsidRDefault="000E58EE" w:rsidP="000E58EE">
      <w:pPr>
        <w:rPr>
          <w:rFonts w:ascii="Times New Roman" w:hAnsi="Times New Roman" w:cs="Times New Roman"/>
          <w:color w:val="000000" w:themeColor="text1"/>
          <w:sz w:val="22"/>
        </w:rPr>
      </w:pPr>
      <w:r w:rsidRPr="00773F26">
        <w:rPr>
          <w:rFonts w:ascii="Times New Roman" w:hAnsi="Times New Roman" w:cs="Times New Roman"/>
          <w:color w:val="000000" w:themeColor="text1"/>
          <w:sz w:val="22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Corresponding author</w:t>
      </w:r>
      <w:r>
        <w:rPr>
          <w:rFonts w:ascii="Times New Roman" w:hAnsi="Times New Roman" w:cs="Times New Roman" w:hint="eastAsia"/>
          <w:color w:val="000000" w:themeColor="text1"/>
          <w:sz w:val="22"/>
        </w:rPr>
        <w:t>s.</w:t>
      </w:r>
    </w:p>
    <w:p w:rsidR="008358B6" w:rsidRPr="00BC7B9F" w:rsidRDefault="000E58EE" w:rsidP="000E58E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2"/>
        </w:rPr>
        <w:t>E-mail address</w:t>
      </w:r>
      <w:r w:rsidRPr="00A56302">
        <w:rPr>
          <w:rFonts w:ascii="Times New Roman" w:hAnsi="Times New Roman" w:cs="Times New Roman"/>
          <w:color w:val="000000" w:themeColor="text1"/>
          <w:sz w:val="22"/>
        </w:rPr>
        <w:t xml:space="preserve">: </w:t>
      </w:r>
      <w:r w:rsidRPr="00195619">
        <w:rPr>
          <w:rFonts w:ascii="Times New Roman" w:hAnsi="Times New Roman" w:cs="Times New Roman"/>
          <w:sz w:val="22"/>
        </w:rPr>
        <w:t>niuqingli@caas.cn</w:t>
      </w:r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(Q. Niu), </w:t>
      </w:r>
      <w:hyperlink r:id="rId7" w:history="1">
        <w:r w:rsidRPr="00A56302">
          <w:rPr>
            <w:rFonts w:ascii="Times New Roman" w:hAnsi="Times New Roman" w:cs="Times New Roman"/>
            <w:color w:val="000000" w:themeColor="text1"/>
            <w:sz w:val="22"/>
          </w:rPr>
          <w:t>zengqy@gsau.edu.cn</w:t>
        </w:r>
      </w:hyperlink>
      <w:r>
        <w:rPr>
          <w:rFonts w:ascii="Times New Roman" w:hAnsi="Times New Roman" w:cs="Times New Roman" w:hint="eastAsia"/>
          <w:color w:val="000000" w:themeColor="text1"/>
          <w:sz w:val="22"/>
        </w:rPr>
        <w:t xml:space="preserve"> (Q. Zeng)</w:t>
      </w:r>
    </w:p>
    <w:p w:rsidR="00713212" w:rsidRPr="000E58E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0E58EE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E58EE" w:rsidRPr="00225839" w:rsidRDefault="000E58EE" w:rsidP="000E58E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22"/>
          <w:szCs w:val="22"/>
        </w:rPr>
        <w:lastRenderedPageBreak/>
        <w:t>Supplementary Table</w:t>
      </w:r>
      <w:r w:rsidRPr="00225839">
        <w:rPr>
          <w:rFonts w:ascii="Times New Roman" w:eastAsiaTheme="minorEastAsia" w:hAnsi="Times New Roman" w:cs="Times New Roman" w:hint="eastAsia"/>
          <w:b/>
          <w:bCs/>
          <w:color w:val="000000" w:themeColor="text1"/>
          <w:kern w:val="24"/>
          <w:sz w:val="22"/>
          <w:szCs w:val="22"/>
        </w:rPr>
        <w:t xml:space="preserve"> S1 </w:t>
      </w:r>
      <w:r w:rsidRPr="00225839">
        <w:rPr>
          <w:rFonts w:ascii="Times New Roman" w:hAnsi="Times New Roman" w:cs="Times New Roman"/>
          <w:sz w:val="22"/>
          <w:szCs w:val="22"/>
        </w:rPr>
        <w:t>List of primers or siRNA</w:t>
      </w:r>
      <w:r w:rsidRPr="00225839">
        <w:rPr>
          <w:rFonts w:ascii="Times New Roman" w:hAnsi="Times New Roman" w:cs="Times New Roman" w:hint="eastAsia"/>
          <w:sz w:val="22"/>
          <w:szCs w:val="22"/>
        </w:rPr>
        <w:t>.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1760"/>
        <w:gridCol w:w="3940"/>
        <w:gridCol w:w="2772"/>
      </w:tblGrid>
      <w:tr w:rsidR="000E58EE" w:rsidRPr="00225839" w:rsidTr="007B4EAC">
        <w:trPr>
          <w:trHeight w:val="310"/>
        </w:trPr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Gene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Forward primer/</w:t>
            </w:r>
            <w:r w:rsidRPr="00225839">
              <w:rPr>
                <w:rFonts w:ascii="Times New Roman" w:eastAsia="DengXian" w:hAnsi="Times New Roman" w:cs="Times New Roman" w:hint="eastAsia"/>
                <w:b/>
                <w:bCs/>
                <w:color w:val="000000"/>
                <w:kern w:val="0"/>
                <w:sz w:val="16"/>
              </w:rPr>
              <w:t>s</w:t>
            </w:r>
            <w:r w:rsidRPr="0022583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ense (5′– 3′)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Reverse primer/</w:t>
            </w:r>
            <w:r w:rsidRPr="00225839">
              <w:rPr>
                <w:rFonts w:ascii="Times New Roman" w:eastAsia="DengXian" w:hAnsi="Times New Roman" w:cs="Times New Roman" w:hint="eastAsia"/>
                <w:b/>
                <w:bCs/>
                <w:color w:val="000000"/>
                <w:kern w:val="0"/>
                <w:sz w:val="16"/>
              </w:rPr>
              <w:t>a</w:t>
            </w:r>
            <w:r w:rsidRPr="0022583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6"/>
              </w:rPr>
              <w:t>ntisense (5′– 3′)</w:t>
            </w:r>
          </w:p>
        </w:tc>
      </w:tr>
      <w:tr w:rsidR="000E58EE" w:rsidRPr="00225839" w:rsidTr="007B4EAC">
        <w:trPr>
          <w:trHeight w:val="3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OGG1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CCTACGAAGAGGCCCACAAG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TTTGCTGGTGGCTCCTGAGCTCG</w:t>
            </w:r>
          </w:p>
        </w:tc>
      </w:tr>
      <w:tr w:rsidR="000E58EE" w:rsidRPr="00225839" w:rsidTr="007B4EAC">
        <w:trPr>
          <w:trHeight w:val="3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B646L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AGTTATGGGAAACCCGACCC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CCCTGAATCGGAGCATCCT</w:t>
            </w:r>
          </w:p>
        </w:tc>
      </w:tr>
      <w:tr w:rsidR="000E58EE" w:rsidRPr="00225839" w:rsidTr="007B4EAC">
        <w:trPr>
          <w:trHeight w:val="3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CP204L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GCGGTAGAATTGTTACGACCGCT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CCTCCGATGAGGGCTCTTGC</w:t>
            </w:r>
          </w:p>
        </w:tc>
      </w:tr>
      <w:tr w:rsidR="000E58EE" w:rsidRPr="00225839" w:rsidTr="007B4EAC">
        <w:trPr>
          <w:trHeight w:val="3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NP419L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GGGGCGGTGCGGATATCAAA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CGCTGCACGATGGGATCTGT</w:t>
            </w:r>
          </w:p>
        </w:tc>
      </w:tr>
      <w:tr w:rsidR="000E58EE" w:rsidRPr="00225839" w:rsidTr="007B4EAC">
        <w:trPr>
          <w:trHeight w:val="3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O174L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CTTACGCTCCCGACTTGCGT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TGCGAATGTTGGGCAGGACG</w:t>
            </w:r>
          </w:p>
        </w:tc>
      </w:tr>
      <w:tr w:rsidR="000E58EE" w:rsidRPr="00225839" w:rsidTr="007B4EAC">
        <w:trPr>
          <w:trHeight w:val="3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EP296R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CACCTAGGCGCTGTGGAGCC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TTTTCCAGCGAGCGCAGCCA</w:t>
            </w:r>
          </w:p>
        </w:tc>
      </w:tr>
      <w:tr w:rsidR="000E58EE" w:rsidRPr="00225839" w:rsidTr="007B4EAC">
        <w:trPr>
          <w:trHeight w:val="3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GAPDH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CAATGACCCCTTCATTGACC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ATCACCCCATTTGATGTTGG</w:t>
            </w:r>
          </w:p>
        </w:tc>
      </w:tr>
      <w:tr w:rsidR="000E58EE" w:rsidRPr="00225839" w:rsidTr="007B4EAC">
        <w:trPr>
          <w:trHeight w:val="3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IFN-β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CCCCAGGGGAGACATGACCA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CGACTGTCCAGGCACAGCTT</w:t>
            </w:r>
          </w:p>
        </w:tc>
      </w:tr>
      <w:tr w:rsidR="000E58EE" w:rsidRPr="00225839" w:rsidTr="007B4EAC">
        <w:trPr>
          <w:trHeight w:val="3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MGF360-14L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CTGTGTGCGGAACTGGGAGG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CCCAGCAGAACTCCTGCACA</w:t>
            </w:r>
          </w:p>
        </w:tc>
      </w:tr>
      <w:tr w:rsidR="000E58EE" w:rsidRPr="00225839" w:rsidTr="007B4EAC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si-OGG1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CCACACUAGAAGAGCUAAATT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58EE" w:rsidRPr="00225839" w:rsidRDefault="000E58EE" w:rsidP="007B4EAC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</w:pPr>
            <w:r w:rsidRPr="00225839">
              <w:rPr>
                <w:rFonts w:ascii="Times New Roman" w:eastAsia="DengXian" w:hAnsi="Times New Roman" w:cs="Times New Roman"/>
                <w:color w:val="000000"/>
                <w:kern w:val="0"/>
                <w:sz w:val="16"/>
              </w:rPr>
              <w:t>UUUAGCUCUUCUAGUGUGGTT</w:t>
            </w:r>
          </w:p>
        </w:tc>
      </w:tr>
    </w:tbl>
    <w:p w:rsidR="000E58EE" w:rsidRDefault="000E58EE" w:rsidP="000E58EE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2"/>
          <w:szCs w:val="22"/>
        </w:rPr>
      </w:pPr>
    </w:p>
    <w:p w:rsidR="000E58EE" w:rsidRDefault="000E58EE" w:rsidP="000E58EE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  <w:br w:type="page"/>
      </w:r>
    </w:p>
    <w:p w:rsidR="000E58EE" w:rsidRDefault="000E58EE" w:rsidP="000E58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</w:pPr>
      <w:r>
        <w:rPr>
          <w:rFonts w:ascii="Times New Roman" w:hAnsi="Times New Roman" w:cs="Times New Roman" w:hint="eastAsia"/>
          <w:b/>
          <w:bCs/>
          <w:noProof/>
          <w:color w:val="000000" w:themeColor="text1"/>
          <w:kern w:val="24"/>
          <w:sz w:val="22"/>
          <w:lang w:eastAsia="en-US"/>
        </w:rPr>
        <w:lastRenderedPageBreak/>
        <w:drawing>
          <wp:inline distT="0" distB="0" distL="0" distR="0" wp14:anchorId="518C16B2" wp14:editId="064F85C8">
            <wp:extent cx="3535680" cy="1170432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EE" w:rsidRPr="0068459D" w:rsidRDefault="000E58EE" w:rsidP="000E58E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24"/>
          <w:sz w:val="22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kern w:val="24"/>
          <w:sz w:val="22"/>
        </w:rPr>
        <w:t xml:space="preserve">Supplementary </w:t>
      </w:r>
      <w:r w:rsidRPr="00A56302">
        <w:rPr>
          <w:rFonts w:ascii="Times New Roman" w:hAnsi="Times New Roman" w:cs="Times New Roman"/>
          <w:b/>
          <w:bCs/>
          <w:color w:val="000000" w:themeColor="text1"/>
          <w:kern w:val="24"/>
          <w:sz w:val="22"/>
        </w:rPr>
        <w:t>Fig. S1.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Cell physiological status did not affect the experimental results.</w:t>
      </w:r>
      <w:r w:rsidRPr="00A56302">
        <w:rPr>
          <w:rFonts w:ascii="Times New Roman" w:hAnsi="Times New Roman" w:cs="Times New Roman"/>
          <w:b/>
          <w:color w:val="000000" w:themeColor="text1"/>
          <w:kern w:val="24"/>
          <w:sz w:val="22"/>
        </w:rPr>
        <w:t xml:space="preserve"> </w:t>
      </w:r>
      <w:r w:rsidRPr="00384B1C">
        <w:rPr>
          <w:rFonts w:ascii="Times New Roman" w:hAnsi="Times New Roman" w:cs="Times New Roman"/>
          <w:b/>
          <w:color w:val="000000" w:themeColor="text1"/>
          <w:kern w:val="24"/>
          <w:sz w:val="22"/>
        </w:rPr>
        <w:t>A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The cytopathic effect was measured by optical micrographs in mock- and ASFV-infected PAMs</w:t>
      </w:r>
      <w:r w:rsidRPr="003D49D0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(MOI =1)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at 24 hpi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(20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sym w:font="Wingdings 2" w:char="F0CD"/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, 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left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and 40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sym w:font="Wingdings 2" w:char="F0CD"/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>, right)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. </w:t>
      </w:r>
      <w:r w:rsidRPr="00384B1C">
        <w:rPr>
          <w:rFonts w:ascii="Times New Roman" w:hAnsi="Times New Roman" w:cs="Times New Roman"/>
          <w:b/>
          <w:color w:val="000000" w:themeColor="text1"/>
          <w:kern w:val="24"/>
          <w:sz w:val="22"/>
        </w:rPr>
        <w:t>B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Cell 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viability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in 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PAMs at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different time points post ASFV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(MOI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=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>1)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infection 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>was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analyzed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by CCK8 assay. H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  <w:vertAlign w:val="subscript"/>
        </w:rPr>
        <w:t>2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O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  <w:vertAlign w:val="subscript"/>
        </w:rPr>
        <w:t>2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(50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μ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mol/L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) treated group 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>was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used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as a positive control.</w:t>
      </w:r>
      <w:r w:rsidRPr="00306D5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>D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ata were shown as mean with</w:t>
      </w:r>
      <w:r w:rsidRPr="001F4343"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standard deviation.</w:t>
      </w:r>
    </w:p>
    <w:p w:rsidR="000E58EE" w:rsidRDefault="000E58EE" w:rsidP="000E58EE">
      <w:pPr>
        <w:widowControl/>
        <w:jc w:val="left"/>
        <w:rPr>
          <w:rFonts w:ascii="Times New Roman" w:hAnsi="Times New Roman" w:cs="Times New Roman"/>
          <w:b/>
          <w:color w:val="000000" w:themeColor="text1"/>
          <w:kern w:val="24"/>
          <w:sz w:val="22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2"/>
        </w:rPr>
        <w:br w:type="page"/>
      </w:r>
    </w:p>
    <w:p w:rsidR="000E58EE" w:rsidRDefault="000E58EE" w:rsidP="000E58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2"/>
        </w:rPr>
      </w:pPr>
      <w:r>
        <w:rPr>
          <w:rFonts w:ascii="Times New Roman" w:hAnsi="Times New Roman" w:cs="Times New Roman" w:hint="eastAsia"/>
          <w:b/>
          <w:noProof/>
          <w:color w:val="000000" w:themeColor="text1"/>
          <w:kern w:val="24"/>
          <w:sz w:val="22"/>
          <w:lang w:eastAsia="en-US"/>
        </w:rPr>
        <w:lastRenderedPageBreak/>
        <w:drawing>
          <wp:inline distT="0" distB="0" distL="0" distR="0" wp14:anchorId="33CBF856" wp14:editId="3302DB4D">
            <wp:extent cx="3639312" cy="223723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2 100 mm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223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E5" w:rsidRPr="000E58EE" w:rsidRDefault="000E58EE" w:rsidP="000E58E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24"/>
          <w:sz w:val="22"/>
        </w:rPr>
      </w:pPr>
      <w:r>
        <w:rPr>
          <w:rFonts w:ascii="Times New Roman" w:hAnsi="Times New Roman" w:cs="Times New Roman" w:hint="eastAsia"/>
          <w:b/>
          <w:color w:val="000000" w:themeColor="text1"/>
          <w:kern w:val="24"/>
          <w:sz w:val="22"/>
        </w:rPr>
        <w:t xml:space="preserve">Supplementary </w:t>
      </w:r>
      <w:r w:rsidRPr="00A56302">
        <w:rPr>
          <w:rFonts w:ascii="Times New Roman" w:hAnsi="Times New Roman" w:cs="Times New Roman"/>
          <w:b/>
          <w:color w:val="000000" w:themeColor="text1"/>
          <w:kern w:val="24"/>
          <w:sz w:val="22"/>
        </w:rPr>
        <w:t>Fig. S2.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Cytotoxicity of 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SU0268 and TH5487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. </w:t>
      </w:r>
      <w:r w:rsidRPr="00384B1C">
        <w:rPr>
          <w:rFonts w:ascii="Times New Roman" w:hAnsi="Times New Roman" w:cs="Times New Roman"/>
          <w:b/>
          <w:color w:val="000000" w:themeColor="text1"/>
          <w:kern w:val="24"/>
          <w:sz w:val="22"/>
        </w:rPr>
        <w:t>A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PAMs 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were treated with indicated dose of SU0268 or TH5487 for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24</w:t>
      </w:r>
      <w:r w:rsidR="00FA1A78"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>h.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C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ell viability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was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assessed 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by CCK8 assay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. </w:t>
      </w:r>
      <w:r w:rsidRPr="00384B1C">
        <w:rPr>
          <w:rFonts w:ascii="Times New Roman" w:hAnsi="Times New Roman" w:cs="Times New Roman"/>
          <w:b/>
          <w:color w:val="000000" w:themeColor="text1"/>
          <w:kern w:val="24"/>
          <w:sz w:val="22"/>
        </w:rPr>
        <w:t>B</w:t>
      </w:r>
      <w:r>
        <w:rPr>
          <w:rFonts w:ascii="Times New Roman" w:hAnsi="Times New Roman" w:cs="Times New Roman" w:hint="eastAsia"/>
          <w:b/>
          <w:color w:val="000000" w:themeColor="text1"/>
          <w:kern w:val="24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>PAMs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were treated with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TH5487 (5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μ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mol/L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) and SU0268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(10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μ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mol/L) for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indicated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time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.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C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ell viability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was 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 xml:space="preserve">assessed 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by CCK8 assay</w:t>
      </w:r>
      <w:r w:rsidRPr="00A56302">
        <w:rPr>
          <w:rFonts w:ascii="Times New Roman" w:hAnsi="Times New Roman" w:cs="Times New Roman"/>
          <w:color w:val="000000" w:themeColor="text1"/>
          <w:kern w:val="24"/>
          <w:sz w:val="22"/>
        </w:rPr>
        <w:t>.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>D</w:t>
      </w:r>
      <w:r>
        <w:rPr>
          <w:rFonts w:ascii="Times New Roman" w:hAnsi="Times New Roman" w:cs="Times New Roman" w:hint="eastAsia"/>
          <w:color w:val="000000" w:themeColor="text1"/>
          <w:kern w:val="24"/>
          <w:sz w:val="22"/>
        </w:rPr>
        <w:t>ata were shown as mean with standard deviation</w:t>
      </w:r>
      <w:r>
        <w:rPr>
          <w:rFonts w:ascii="Times New Roman" w:hAnsi="Times New Roman" w:cs="Times New Roman"/>
          <w:color w:val="000000" w:themeColor="text1"/>
          <w:kern w:val="24"/>
          <w:sz w:val="22"/>
        </w:rPr>
        <w:t>.</w:t>
      </w:r>
    </w:p>
    <w:sectPr w:rsidR="00BF5BE5" w:rsidRPr="000E58EE" w:rsidSect="0098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6F" w:rsidRDefault="00931F6F" w:rsidP="000761B5">
      <w:r>
        <w:separator/>
      </w:r>
    </w:p>
  </w:endnote>
  <w:endnote w:type="continuationSeparator" w:id="0">
    <w:p w:rsidR="00931F6F" w:rsidRDefault="00931F6F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1D" w:rsidRPr="00155BCA" w:rsidRDefault="006C161D">
    <w:pPr>
      <w:pStyle w:val="Footer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6F" w:rsidRDefault="00931F6F" w:rsidP="000761B5">
      <w:r>
        <w:separator/>
      </w:r>
    </w:p>
  </w:footnote>
  <w:footnote w:type="continuationSeparator" w:id="0">
    <w:p w:rsidR="00931F6F" w:rsidRDefault="00931F6F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Header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045C7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045C7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E58EE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01F2B"/>
    <w:rsid w:val="002044AE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1F6F"/>
    <w:rsid w:val="00933F58"/>
    <w:rsid w:val="009579F2"/>
    <w:rsid w:val="00983022"/>
    <w:rsid w:val="00986D4C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045C7"/>
    <w:rsid w:val="00E264F4"/>
    <w:rsid w:val="00E34BDD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1A78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D0897-87B1-4DAE-B1E2-56548DFE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SimSun" w:hAnsi="Calibri Light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61B5"/>
    <w:rPr>
      <w:kern w:val="2"/>
      <w:sz w:val="21"/>
    </w:rPr>
  </w:style>
  <w:style w:type="paragraph" w:styleId="Footer">
    <w:name w:val="footer"/>
    <w:basedOn w:val="Normal"/>
    <w:link w:val="FooterChar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nhideWhenUsed/>
    <w:rsid w:val="00E92530"/>
    <w:rPr>
      <w:color w:val="0000FF" w:themeColor="hyperlink"/>
      <w:u w:val="single"/>
    </w:rPr>
  </w:style>
  <w:style w:type="character" w:styleId="LineNumber">
    <w:name w:val="line number"/>
    <w:basedOn w:val="DefaultParagraphFont"/>
    <w:unhideWhenUsed/>
    <w:rsid w:val="00B9682E"/>
  </w:style>
  <w:style w:type="paragraph" w:styleId="NormalWeb">
    <w:name w:val="Normal (Web)"/>
    <w:basedOn w:val="Normal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customStyle="1" w:styleId="PlainTable21">
    <w:name w:val="Plain Table 21"/>
    <w:basedOn w:val="TableNormal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C7B9F"/>
    <w:rPr>
      <w:rFonts w:ascii="Calibri Light" w:eastAsia="SimSun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BC7B9F"/>
    <w:pPr>
      <w:jc w:val="center"/>
    </w:pPr>
    <w:rPr>
      <w:rFonts w:ascii="Times New Roman" w:eastAsia="SimSun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SimSun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Revision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CommentText">
    <w:name w:val="annotation text"/>
    <w:basedOn w:val="Normal"/>
    <w:link w:val="CommentTextChar"/>
    <w:rsid w:val="00BC7B9F"/>
    <w:pPr>
      <w:jc w:val="left"/>
    </w:pPr>
    <w:rPr>
      <w:rFonts w:ascii="Times New Roman" w:eastAsia="SimSun" w:hAnsi="Times New Roman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rsid w:val="00BC7B9F"/>
    <w:rPr>
      <w:rFonts w:ascii="Times New Roman" w:eastAsia="SimSun" w:hAnsi="Times New Roman" w:cs="Times New Roman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7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7B9F"/>
    <w:rPr>
      <w:rFonts w:ascii="Times New Roman" w:eastAsia="SimSun" w:hAnsi="Times New Roman" w:cs="Times New Roman"/>
      <w:b/>
      <w:bCs/>
      <w:kern w:val="2"/>
      <w:sz w:val="21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engqy@gsa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2037</Characters>
  <Application>Microsoft Office Word</Application>
  <DocSecurity>0</DocSecurity>
  <Lines>16</Lines>
  <Paragraphs>4</Paragraphs>
  <ScaleCrop>false</ScaleCrop>
  <Company>whiov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Santhanam  V</cp:lastModifiedBy>
  <cp:revision>4</cp:revision>
  <cp:lastPrinted>2022-01-04T07:37:00Z</cp:lastPrinted>
  <dcterms:created xsi:type="dcterms:W3CDTF">2022-11-18T02:49:00Z</dcterms:created>
  <dcterms:modified xsi:type="dcterms:W3CDTF">2022-12-09T13:12:00Z</dcterms:modified>
</cp:coreProperties>
</file>