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44" w:rsidRPr="007361CC" w:rsidRDefault="00C24144" w:rsidP="00C24144">
      <w:pPr>
        <w:jc w:val="left"/>
        <w:rPr>
          <w:rFonts w:ascii="Times New Roman" w:hAnsi="Times New Roman" w:cs="Times New Roman"/>
          <w:b/>
          <w:i/>
          <w:w w:val="105"/>
          <w:sz w:val="30"/>
          <w:szCs w:val="30"/>
        </w:rPr>
      </w:pPr>
      <w:bookmarkStart w:id="0" w:name="_GoBack"/>
      <w:bookmarkEnd w:id="0"/>
      <w:proofErr w:type="spellStart"/>
      <w:r w:rsidRPr="007361CC">
        <w:rPr>
          <w:rFonts w:ascii="Times New Roman" w:hAnsi="Times New Roman" w:cs="Times New Roman"/>
          <w:b/>
          <w:i/>
          <w:w w:val="105"/>
          <w:sz w:val="30"/>
          <w:szCs w:val="30"/>
        </w:rPr>
        <w:t>V</w:t>
      </w:r>
      <w:r w:rsidRPr="007361CC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irologica</w:t>
      </w:r>
      <w:proofErr w:type="spellEnd"/>
      <w:r w:rsidRPr="007361CC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 xml:space="preserve"> </w:t>
      </w:r>
      <w:proofErr w:type="spellStart"/>
      <w:r w:rsidRPr="007361CC">
        <w:rPr>
          <w:rFonts w:ascii="Times New Roman" w:hAnsi="Times New Roman" w:cs="Times New Roman" w:hint="eastAsia"/>
          <w:b/>
          <w:i/>
          <w:w w:val="105"/>
          <w:sz w:val="30"/>
          <w:szCs w:val="30"/>
        </w:rPr>
        <w:t>Sinica</w:t>
      </w:r>
      <w:proofErr w:type="spellEnd"/>
    </w:p>
    <w:p w:rsidR="00C24144" w:rsidRPr="008575EF" w:rsidRDefault="00C24144" w:rsidP="00C24144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C24144" w:rsidRPr="008575EF" w:rsidRDefault="00C24144" w:rsidP="00C24144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C24144" w:rsidRPr="00155BCA" w:rsidRDefault="00C24144" w:rsidP="00C24144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C24144" w:rsidRPr="008575EF" w:rsidRDefault="00C24144" w:rsidP="00C24144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C24144" w:rsidRPr="00C24144" w:rsidRDefault="00C24144" w:rsidP="00C24144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C24144">
        <w:rPr>
          <w:rFonts w:ascii="Times New Roman" w:hAnsi="Times New Roman" w:cs="Times New Roman"/>
          <w:b/>
          <w:bCs/>
          <w:sz w:val="30"/>
          <w:szCs w:val="30"/>
        </w:rPr>
        <w:t>An Integrated Rapid Nucleic Acid Detection Assay Based on Recombinant Polymerase Amplification for SARS-CoV-2</w:t>
      </w:r>
    </w:p>
    <w:p w:rsidR="00C24144" w:rsidRPr="00C24144" w:rsidRDefault="00C24144" w:rsidP="00C24144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Cs w:val="21"/>
        </w:rPr>
      </w:pPr>
      <w:r w:rsidRPr="00C2414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C24144" w:rsidRPr="00C24144" w:rsidRDefault="00C24144" w:rsidP="00C2414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  <w:vertAlign w:val="superscript"/>
        </w:rPr>
      </w:pPr>
      <w:r w:rsidRPr="00C24144">
        <w:rPr>
          <w:rFonts w:ascii="Times New Roman" w:hAnsi="Times New Roman" w:cs="Times New Roman"/>
          <w:b/>
          <w:sz w:val="22"/>
        </w:rPr>
        <w:t xml:space="preserve">Ying Tang </w:t>
      </w:r>
      <w:r w:rsidRPr="00C24144">
        <w:rPr>
          <w:rFonts w:ascii="Times New Roman" w:eastAsia="SimSun" w:hAnsi="Times New Roman" w:cs="Times New Roman"/>
          <w:b/>
          <w:sz w:val="22"/>
          <w:vertAlign w:val="superscript"/>
        </w:rPr>
        <w:t>a, b,</w:t>
      </w:r>
      <w:r w:rsidR="00D5679D">
        <w:rPr>
          <w:rFonts w:ascii="Times New Roman" w:eastAsia="SimSun" w:hAnsi="Times New Roman" w:cs="Times New Roman"/>
          <w:b/>
          <w:sz w:val="22"/>
          <w:vertAlign w:val="superscript"/>
        </w:rPr>
        <w:t xml:space="preserve"> c,</w:t>
      </w:r>
      <w:r w:rsidRPr="00C24144">
        <w:rPr>
          <w:rFonts w:ascii="Times New Roman" w:eastAsia="SimSun" w:hAnsi="Times New Roman" w:cs="Times New Roman"/>
          <w:b/>
          <w:sz w:val="22"/>
          <w:vertAlign w:val="superscript"/>
        </w:rPr>
        <w:t xml:space="preserve"> 1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Yiqin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Wang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 f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>, 1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Yuchang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Li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>, b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Huai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Zhao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 e</w:t>
      </w:r>
      <w:r w:rsidRPr="00C24144">
        <w:rPr>
          <w:rFonts w:ascii="Times New Roman" w:hAnsi="Times New Roman" w:cs="Times New Roman"/>
          <w:b/>
          <w:sz w:val="22"/>
        </w:rPr>
        <w:t>, Sen Zhang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>, b</w:t>
      </w:r>
      <w:r w:rsidRPr="00C24144">
        <w:rPr>
          <w:rFonts w:ascii="Times New Roman" w:hAnsi="Times New Roman" w:cs="Times New Roman"/>
          <w:b/>
          <w:sz w:val="22"/>
        </w:rPr>
        <w:t>, Ying Zhang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 b</w:t>
      </w:r>
      <w:r w:rsidRPr="00C24144">
        <w:rPr>
          <w:rFonts w:ascii="Times New Roman" w:hAnsi="Times New Roman" w:cs="Times New Roman"/>
          <w:b/>
          <w:sz w:val="22"/>
        </w:rPr>
        <w:t>, Jing Li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>, b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Yuehong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Chen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, </w:t>
      </w:r>
      <w:r w:rsidR="00D5679D" w:rsidRPr="00D5679D">
        <w:rPr>
          <w:rFonts w:ascii="Times New Roman" w:hAnsi="Times New Roman" w:cs="Times New Roman"/>
          <w:b/>
          <w:sz w:val="22"/>
          <w:vertAlign w:val="superscript"/>
        </w:rPr>
        <w:t>b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Xiaoyan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Wu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>, b</w:t>
      </w:r>
      <w:r w:rsidRPr="00C24144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24144">
        <w:rPr>
          <w:rFonts w:ascii="Times New Roman" w:hAnsi="Times New Roman" w:cs="Times New Roman"/>
          <w:b/>
          <w:sz w:val="22"/>
        </w:rPr>
        <w:t>Chengfeng</w:t>
      </w:r>
      <w:proofErr w:type="spellEnd"/>
      <w:r w:rsidRPr="00C24144">
        <w:rPr>
          <w:rFonts w:ascii="Times New Roman" w:hAnsi="Times New Roman" w:cs="Times New Roman"/>
          <w:b/>
          <w:sz w:val="22"/>
        </w:rPr>
        <w:t xml:space="preserve"> Qin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a, 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>b, d</w:t>
      </w:r>
      <w:r w:rsidRPr="00C24144">
        <w:rPr>
          <w:rFonts w:ascii="Times New Roman" w:hAnsi="Times New Roman" w:cs="Times New Roman"/>
          <w:b/>
          <w:sz w:val="22"/>
        </w:rPr>
        <w:t>, Tao Jiang</w:t>
      </w:r>
      <w:bookmarkStart w:id="1" w:name="OLE_LINK54"/>
      <w:bookmarkStart w:id="2" w:name="OLE_LINK55"/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a, 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b, </w:t>
      </w:r>
      <w:bookmarkEnd w:id="1"/>
      <w:bookmarkEnd w:id="2"/>
      <w:r w:rsidR="00D5679D">
        <w:rPr>
          <w:rFonts w:ascii="Times New Roman" w:hAnsi="Times New Roman" w:cs="Times New Roman"/>
          <w:b/>
          <w:sz w:val="22"/>
          <w:vertAlign w:val="superscript"/>
        </w:rPr>
        <w:t>d</w:t>
      </w:r>
      <w:r w:rsidRPr="00C24144">
        <w:rPr>
          <w:rFonts w:ascii="Times New Roman" w:eastAsia="SimSun" w:hAnsi="Times New Roman" w:cs="Times New Roman"/>
          <w:b/>
          <w:bCs/>
          <w:kern w:val="0"/>
          <w:sz w:val="22"/>
          <w:vertAlign w:val="superscript"/>
        </w:rPr>
        <w:t xml:space="preserve"> 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>*</w:t>
      </w:r>
      <w:r w:rsidRPr="00C24144">
        <w:rPr>
          <w:rFonts w:ascii="Times New Roman" w:hAnsi="Times New Roman" w:cs="Times New Roman"/>
          <w:b/>
          <w:sz w:val="22"/>
        </w:rPr>
        <w:t>, Xiaoping Kang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a, b,</w:t>
      </w:r>
      <w:r w:rsidR="00D5679D">
        <w:rPr>
          <w:rFonts w:ascii="Times New Roman" w:hAnsi="Times New Roman" w:cs="Times New Roman"/>
          <w:b/>
          <w:sz w:val="22"/>
          <w:vertAlign w:val="superscript"/>
        </w:rPr>
        <w:t xml:space="preserve"> c</w:t>
      </w:r>
      <w:r w:rsidRPr="00C24144">
        <w:rPr>
          <w:rFonts w:ascii="Times New Roman" w:hAnsi="Times New Roman" w:cs="Times New Roman"/>
          <w:b/>
          <w:sz w:val="22"/>
          <w:vertAlign w:val="superscript"/>
        </w:rPr>
        <w:t xml:space="preserve"> *</w:t>
      </w:r>
    </w:p>
    <w:p w:rsidR="00C24144" w:rsidRPr="00D5679D" w:rsidRDefault="00C24144" w:rsidP="00C24144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  <w:vertAlign w:val="superscript"/>
        </w:rPr>
      </w:pPr>
    </w:p>
    <w:p w:rsidR="00D5679D" w:rsidRPr="00D5679D" w:rsidRDefault="00C24144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</w:pPr>
      <w:proofErr w:type="gramStart"/>
      <w:r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>a</w:t>
      </w:r>
      <w:proofErr w:type="gramEnd"/>
      <w:r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 xml:space="preserve"> </w:t>
      </w:r>
      <w:r w:rsidR="00D5679D"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Department of Virology,</w:t>
      </w:r>
      <w:r w:rsidR="00105712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D5679D"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Beijing Institute of Microbiology and Epidemiology, AMMS, Beijing 100071, China</w:t>
      </w:r>
    </w:p>
    <w:p w:rsidR="00C24144" w:rsidRDefault="00D5679D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</w:rPr>
      </w:pPr>
      <w:proofErr w:type="gramStart"/>
      <w:r w:rsidRPr="00D5679D">
        <w:rPr>
          <w:rStyle w:val="tgt1"/>
          <w:rFonts w:ascii="Times New Roman" w:hAnsi="Times New Roman" w:cs="Times New Roman" w:hint="eastAsia"/>
          <w:i/>
          <w:color w:val="000000" w:themeColor="text1"/>
          <w:sz w:val="22"/>
          <w:vertAlign w:val="superscript"/>
        </w:rPr>
        <w:t>b</w:t>
      </w:r>
      <w:proofErr w:type="gramEnd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 xml:space="preserve"> </w:t>
      </w:r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State Key Laboratory of Pathogen and Biosecurity, </w:t>
      </w:r>
      <w:r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AMMS</w:t>
      </w:r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, Beijing 100071, China; </w:t>
      </w:r>
    </w:p>
    <w:p w:rsidR="00C24144" w:rsidRDefault="00D5679D" w:rsidP="00C24144">
      <w:pPr>
        <w:adjustRightInd w:val="0"/>
        <w:snapToGrid w:val="0"/>
        <w:spacing w:line="360" w:lineRule="auto"/>
        <w:rPr>
          <w:rStyle w:val="tgt"/>
          <w:rFonts w:ascii="Times New Roman" w:eastAsia="SimSun" w:hAnsi="Times New Roman" w:cs="Times New Roman"/>
          <w:i/>
          <w:color w:val="333333"/>
          <w:sz w:val="22"/>
        </w:rPr>
      </w:pPr>
      <w:proofErr w:type="gramStart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>c</w:t>
      </w:r>
      <w:proofErr w:type="gramEnd"/>
      <w:r w:rsidR="00C24144" w:rsidRPr="00D759BE">
        <w:rPr>
          <w:rFonts w:ascii="Times New Roman" w:eastAsia="SimSun" w:hAnsi="Times New Roman" w:cs="Times New Roman"/>
          <w:i/>
          <w:sz w:val="22"/>
          <w:vertAlign w:val="superscript"/>
          <w:lang w:val="en-GB"/>
        </w:rPr>
        <w:t xml:space="preserve"> </w:t>
      </w:r>
      <w:r w:rsidR="00C24144" w:rsidRPr="00D759BE">
        <w:rPr>
          <w:rFonts w:ascii="Times New Roman" w:eastAsia="SimSun" w:hAnsi="Times New Roman" w:cs="Times New Roman"/>
          <w:i/>
          <w:sz w:val="22"/>
          <w:lang w:val="en-GB"/>
        </w:rPr>
        <w:t xml:space="preserve">Beijing University of Chemical Technology, Beijing </w:t>
      </w:r>
      <w:r w:rsidR="00C24144" w:rsidRPr="00D759BE">
        <w:rPr>
          <w:rStyle w:val="tgt"/>
          <w:rFonts w:ascii="Times New Roman" w:eastAsia="SimSun" w:hAnsi="Times New Roman" w:cs="Times New Roman"/>
          <w:i/>
          <w:color w:val="333333"/>
          <w:sz w:val="22"/>
        </w:rPr>
        <w:t>100029, China;</w:t>
      </w:r>
    </w:p>
    <w:p w:rsidR="00D5679D" w:rsidRDefault="00D5679D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</w:rPr>
      </w:pPr>
      <w:proofErr w:type="gramStart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>d</w:t>
      </w:r>
      <w:proofErr w:type="gramEnd"/>
      <w:r w:rsidR="00C24144"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 xml:space="preserve"> </w:t>
      </w:r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Anhui Medical University, Hefei 230032, China;</w:t>
      </w:r>
    </w:p>
    <w:p w:rsidR="00D5679D" w:rsidRDefault="00D5679D" w:rsidP="00D5679D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</w:rPr>
      </w:pPr>
      <w:proofErr w:type="gramStart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>e</w:t>
      </w:r>
      <w:proofErr w:type="gramEnd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 xml:space="preserve"> </w:t>
      </w:r>
      <w:proofErr w:type="spellStart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Lifereal</w:t>
      </w:r>
      <w:proofErr w:type="spellEnd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 Biotech. Inc., Hangzhou 311100, China;</w:t>
      </w:r>
    </w:p>
    <w:p w:rsidR="00C24144" w:rsidRPr="00D759BE" w:rsidRDefault="00D5679D" w:rsidP="00D5679D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</w:rPr>
      </w:pPr>
      <w:proofErr w:type="gramStart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>f</w:t>
      </w:r>
      <w:proofErr w:type="gramEnd"/>
      <w:r>
        <w:rPr>
          <w:rStyle w:val="tgt1"/>
          <w:rFonts w:ascii="Times New Roman" w:hAnsi="Times New Roman" w:cs="Times New Roman"/>
          <w:i/>
          <w:color w:val="000000" w:themeColor="text1"/>
          <w:sz w:val="22"/>
          <w:vertAlign w:val="superscript"/>
        </w:rPr>
        <w:t xml:space="preserve"> </w:t>
      </w:r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Technology Center of </w:t>
      </w:r>
      <w:proofErr w:type="spellStart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Erenhot</w:t>
      </w:r>
      <w:proofErr w:type="spellEnd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 C</w:t>
      </w:r>
      <w:r w:rsidR="00C24144" w:rsidRPr="00D759BE">
        <w:rPr>
          <w:rStyle w:val="tgt1"/>
          <w:rFonts w:ascii="Times New Roman" w:hAnsi="Times New Roman" w:cs="Times New Roman" w:hint="eastAsia"/>
          <w:i/>
          <w:color w:val="000000" w:themeColor="text1"/>
          <w:sz w:val="22"/>
        </w:rPr>
        <w:t>u</w:t>
      </w:r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stoms, </w:t>
      </w:r>
      <w:proofErr w:type="spellStart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Erenhot</w:t>
      </w:r>
      <w:proofErr w:type="spellEnd"/>
      <w:r w:rsidR="00C24144" w:rsidRPr="00D759BE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 011100, China</w:t>
      </w:r>
    </w:p>
    <w:p w:rsidR="00C24144" w:rsidRDefault="00C24144" w:rsidP="00C24144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Cs w:val="21"/>
          <w:vertAlign w:val="superscript"/>
        </w:rPr>
      </w:pPr>
    </w:p>
    <w:p w:rsidR="00C24144" w:rsidRDefault="00C24144" w:rsidP="00C24144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sz w:val="22"/>
          <w:shd w:val="clear" w:color="auto" w:fill="FFFFFF"/>
        </w:rPr>
      </w:pPr>
      <w:r w:rsidRPr="00A910A1">
        <w:rPr>
          <w:rFonts w:ascii="Times New Roman" w:hAnsi="Times New Roman" w:cs="Times New Roman"/>
          <w:i/>
          <w:szCs w:val="21"/>
          <w:vertAlign w:val="superscript"/>
        </w:rPr>
        <w:t>*</w:t>
      </w:r>
      <w:r w:rsidRPr="00A910A1">
        <w:rPr>
          <w:rFonts w:ascii="Times New Roman" w:hAnsi="Times New Roman" w:cs="Times New Roman"/>
          <w:szCs w:val="21"/>
        </w:rPr>
        <w:t xml:space="preserve"> </w:t>
      </w:r>
      <w:r w:rsidRPr="00A910A1">
        <w:rPr>
          <w:rFonts w:ascii="Times New Roman" w:hAnsi="Times New Roman" w:cs="Times New Roman"/>
          <w:i/>
          <w:szCs w:val="21"/>
        </w:rPr>
        <w:t>Corresponding author</w:t>
      </w:r>
      <w:r w:rsidR="00105712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:</w:t>
      </w:r>
      <w:r w:rsidRPr="00A910A1">
        <w:rPr>
          <w:rFonts w:ascii="Times New Roman" w:hAnsi="Times New Roman" w:cs="Times New Roman"/>
          <w:i/>
          <w:sz w:val="22"/>
          <w:shd w:val="clear" w:color="auto" w:fill="FFFFFF"/>
        </w:rPr>
        <w:t xml:space="preserve"> </w:t>
      </w:r>
    </w:p>
    <w:p w:rsidR="00C24144" w:rsidRDefault="00105712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i/>
          <w:color w:val="000000" w:themeColor="text1"/>
          <w:sz w:val="22"/>
        </w:rPr>
      </w:pPr>
      <w:r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Department of Virology,</w:t>
      </w:r>
      <w:r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D5679D">
        <w:rPr>
          <w:rStyle w:val="tgt1"/>
          <w:rFonts w:ascii="Times New Roman" w:hAnsi="Times New Roman" w:cs="Times New Roman"/>
          <w:i/>
          <w:color w:val="000000" w:themeColor="text1"/>
          <w:sz w:val="22"/>
        </w:rPr>
        <w:t>Beijing Institute of Microbiology and Epidemiology, AMMS, Beijing 100071, China</w:t>
      </w:r>
    </w:p>
    <w:p w:rsidR="002963A8" w:rsidRDefault="002963A8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</w:p>
    <w:p w:rsidR="00105712" w:rsidRDefault="00C24144" w:rsidP="002963A8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kern w:val="0"/>
          <w:sz w:val="22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>:</w:t>
      </w:r>
      <w:r w:rsidRPr="00C55050">
        <w:rPr>
          <w:rFonts w:ascii="Times New Roman" w:hAnsi="Times New Roman" w:cs="Times New Roman"/>
          <w:i/>
          <w:kern w:val="0"/>
          <w:sz w:val="22"/>
        </w:rPr>
        <w:t xml:space="preserve"> </w:t>
      </w:r>
    </w:p>
    <w:p w:rsidR="00105712" w:rsidRDefault="00105712" w:rsidP="00C2414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sz w:val="22"/>
        </w:rPr>
      </w:pPr>
      <w:r w:rsidRPr="00105712">
        <w:rPr>
          <w:rFonts w:ascii="Times New Roman" w:hAnsi="Times New Roman" w:cs="Times New Roman"/>
          <w:i/>
          <w:kern w:val="0"/>
          <w:sz w:val="22"/>
        </w:rPr>
        <w:t>kangxiaoping@163.com</w:t>
      </w:r>
      <w:r>
        <w:rPr>
          <w:rFonts w:ascii="Times New Roman" w:hAnsi="Times New Roman" w:cs="Times New Roman"/>
          <w:i/>
          <w:kern w:val="0"/>
          <w:sz w:val="22"/>
        </w:rPr>
        <w:t xml:space="preserve"> (X. Kang)</w:t>
      </w:r>
      <w:r w:rsidR="00C24144" w:rsidRPr="00C55050">
        <w:rPr>
          <w:rFonts w:ascii="Times New Roman" w:hAnsi="Times New Roman" w:cs="Times New Roman"/>
          <w:i/>
          <w:kern w:val="0"/>
          <w:sz w:val="22"/>
        </w:rPr>
        <w:t xml:space="preserve">; </w:t>
      </w:r>
      <w:r w:rsidRPr="00105712">
        <w:rPr>
          <w:rFonts w:ascii="Times New Roman" w:hAnsi="Times New Roman" w:cs="Times New Roman"/>
          <w:i/>
          <w:sz w:val="22"/>
        </w:rPr>
        <w:t>jiangtao@bmi.ac.cn</w:t>
      </w:r>
      <w:r>
        <w:rPr>
          <w:rFonts w:ascii="Times New Roman" w:hAnsi="Times New Roman" w:cs="Times New Roman"/>
          <w:i/>
          <w:sz w:val="22"/>
        </w:rPr>
        <w:t xml:space="preserve"> (T. Jiang)</w:t>
      </w:r>
    </w:p>
    <w:p w:rsidR="00105712" w:rsidRDefault="00105712" w:rsidP="00C2414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kern w:val="0"/>
          <w:sz w:val="22"/>
        </w:rPr>
      </w:pPr>
    </w:p>
    <w:p w:rsidR="00105712" w:rsidRDefault="00105712" w:rsidP="00C2414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kern w:val="0"/>
          <w:sz w:val="22"/>
        </w:rPr>
      </w:pPr>
    </w:p>
    <w:p w:rsidR="00105712" w:rsidRDefault="00C24144" w:rsidP="00C2414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kern w:val="0"/>
          <w:sz w:val="22"/>
        </w:rPr>
      </w:pPr>
      <w:r w:rsidRPr="00C55050">
        <w:rPr>
          <w:rFonts w:ascii="Times New Roman" w:hAnsi="Times New Roman" w:cs="Times New Roman"/>
          <w:i/>
          <w:kern w:val="0"/>
          <w:sz w:val="22"/>
        </w:rPr>
        <w:t>ORCID:</w:t>
      </w:r>
    </w:p>
    <w:p w:rsidR="00C24144" w:rsidRDefault="00C24144" w:rsidP="00C24144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</w:pPr>
      <w:r w:rsidRPr="00C55050"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  <w:t xml:space="preserve"> 0000-0002-0587-399X</w:t>
      </w:r>
      <w:r w:rsidR="00105712"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  <w:t xml:space="preserve"> </w:t>
      </w:r>
      <w:r w:rsidR="00105712">
        <w:rPr>
          <w:rFonts w:ascii="Times New Roman" w:hAnsi="Times New Roman" w:cs="Times New Roman"/>
          <w:i/>
          <w:kern w:val="0"/>
          <w:sz w:val="22"/>
        </w:rPr>
        <w:t>(X. Kang)</w:t>
      </w:r>
      <w:r w:rsidR="00105712"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  <w:t xml:space="preserve">; </w:t>
      </w:r>
      <w:r w:rsidR="00105712" w:rsidRPr="00C55050"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  <w:t>0000-0003-1908-2926</w:t>
      </w:r>
      <w:r w:rsidR="00105712">
        <w:rPr>
          <w:rFonts w:ascii="Times New Roman" w:hAnsi="Times New Roman" w:cs="Times New Roman"/>
          <w:i/>
          <w:color w:val="333333"/>
          <w:sz w:val="22"/>
          <w:shd w:val="clear" w:color="auto" w:fill="FFFFFF"/>
        </w:rPr>
        <w:t xml:space="preserve"> </w:t>
      </w:r>
      <w:r w:rsidR="00105712">
        <w:rPr>
          <w:rFonts w:ascii="Times New Roman" w:hAnsi="Times New Roman" w:cs="Times New Roman"/>
          <w:i/>
          <w:sz w:val="22"/>
        </w:rPr>
        <w:t>(T. Jiang)</w:t>
      </w:r>
    </w:p>
    <w:p w:rsidR="00105712" w:rsidRPr="00C55050" w:rsidRDefault="00105712" w:rsidP="00C24144">
      <w:pPr>
        <w:adjustRightInd w:val="0"/>
        <w:snapToGrid w:val="0"/>
        <w:rPr>
          <w:rFonts w:ascii="Times New Roman" w:hAnsi="Times New Roman" w:cs="Times New Roman"/>
          <w:bCs/>
          <w:i/>
          <w:sz w:val="22"/>
        </w:rPr>
      </w:pPr>
    </w:p>
    <w:p w:rsidR="00C24144" w:rsidRDefault="00C24144" w:rsidP="00C24144">
      <w:pPr>
        <w:adjustRightInd w:val="0"/>
        <w:snapToGrid w:val="0"/>
        <w:rPr>
          <w:rFonts w:ascii="Times New Roman" w:eastAsia="Times New Roman" w:hAnsi="Times New Roman" w:cs="Times New Roman"/>
          <w:sz w:val="22"/>
          <w:lang w:val="en-GB"/>
        </w:rPr>
      </w:pPr>
    </w:p>
    <w:p w:rsidR="00C24144" w:rsidRPr="008A4D69" w:rsidRDefault="00C24144" w:rsidP="00C24144">
      <w:pPr>
        <w:adjustRightInd w:val="0"/>
        <w:snapToGrid w:val="0"/>
        <w:rPr>
          <w:rFonts w:ascii="Times New Roman" w:eastAsia="Times New Roman" w:hAnsi="Times New Roman" w:cs="Times New Roman"/>
          <w:i/>
          <w:sz w:val="22"/>
          <w:lang w:val="en-GB"/>
        </w:rPr>
      </w:pPr>
      <w:r w:rsidRPr="008A4D69">
        <w:rPr>
          <w:rFonts w:ascii="Times New Roman" w:eastAsia="Times New Roman" w:hAnsi="Times New Roman" w:cs="Times New Roman"/>
          <w:i/>
          <w:sz w:val="22"/>
          <w:vertAlign w:val="superscript"/>
        </w:rPr>
        <w:t xml:space="preserve">1 </w:t>
      </w:r>
      <w:r w:rsidRPr="008A4D69">
        <w:rPr>
          <w:rFonts w:ascii="Times New Roman" w:eastAsia="Times New Roman" w:hAnsi="Times New Roman" w:cs="Times New Roman"/>
          <w:i/>
          <w:sz w:val="22"/>
        </w:rPr>
        <w:t>Ying Tang</w:t>
      </w:r>
      <w:r w:rsidRPr="008A4D69">
        <w:rPr>
          <w:rFonts w:ascii="Times New Roman" w:eastAsia="Times New Roman" w:hAnsi="Times New Roman" w:cs="Times New Roman"/>
          <w:i/>
          <w:sz w:val="22"/>
          <w:vertAlign w:val="superscript"/>
        </w:rPr>
        <w:t xml:space="preserve"> </w:t>
      </w:r>
      <w:r w:rsidRPr="008A4D69">
        <w:rPr>
          <w:rFonts w:ascii="Times New Roman" w:eastAsia="Times New Roman" w:hAnsi="Times New Roman" w:cs="Times New Roman"/>
          <w:i/>
          <w:sz w:val="22"/>
        </w:rPr>
        <w:t xml:space="preserve">and </w:t>
      </w:r>
      <w:proofErr w:type="spellStart"/>
      <w:r w:rsidRPr="008A4D69">
        <w:rPr>
          <w:rFonts w:ascii="Times New Roman" w:eastAsia="Times New Roman" w:hAnsi="Times New Roman" w:cs="Times New Roman"/>
          <w:i/>
          <w:sz w:val="22"/>
        </w:rPr>
        <w:t>Yiqin</w:t>
      </w:r>
      <w:proofErr w:type="spellEnd"/>
      <w:r w:rsidRPr="008A4D69">
        <w:rPr>
          <w:rFonts w:ascii="Times New Roman" w:eastAsia="Times New Roman" w:hAnsi="Times New Roman" w:cs="Times New Roman"/>
          <w:i/>
          <w:sz w:val="22"/>
        </w:rPr>
        <w:t xml:space="preserve"> Wang</w:t>
      </w:r>
      <w:r w:rsidRPr="008A4D69">
        <w:rPr>
          <w:rFonts w:ascii="Times New Roman" w:eastAsia="Times New Roman" w:hAnsi="Times New Roman" w:cs="Times New Roman"/>
          <w:i/>
          <w:sz w:val="22"/>
          <w:lang w:val="en-GB"/>
        </w:rPr>
        <w:t xml:space="preserve"> contributed equally to this work.</w:t>
      </w:r>
    </w:p>
    <w:p w:rsidR="00C24144" w:rsidRPr="00C55050" w:rsidRDefault="00C24144" w:rsidP="00C24144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  <w:lang w:val="en-GB"/>
        </w:rPr>
      </w:pPr>
    </w:p>
    <w:p w:rsidR="00C24144" w:rsidRPr="00C24144" w:rsidRDefault="00C24144" w:rsidP="00C2414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  <w:lang w:val="en-GB"/>
        </w:rPr>
      </w:pPr>
    </w:p>
    <w:p w:rsidR="00C97E65" w:rsidRPr="00C24144" w:rsidRDefault="00C97E65" w:rsidP="00C97E6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C97E65" w:rsidRDefault="00C97E65" w:rsidP="00C97E6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C97E65" w:rsidRPr="007A4D82" w:rsidRDefault="00C97E65" w:rsidP="00C97E6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757B3" w:rsidRDefault="008757B3" w:rsidP="008757B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color w:val="000000" w:themeColor="text1"/>
          <w:sz w:val="22"/>
        </w:rPr>
        <w:sectPr w:rsidR="008757B3" w:rsidSect="00136B78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757B3" w:rsidRPr="001C1F2D" w:rsidRDefault="008757B3" w:rsidP="008757B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color w:val="000000" w:themeColor="text1"/>
          <w:sz w:val="22"/>
        </w:rPr>
      </w:pPr>
      <w:r w:rsidRPr="001C1F2D">
        <w:rPr>
          <w:rStyle w:val="tgt1"/>
          <w:rFonts w:ascii="Times New Roman" w:hAnsi="Times New Roman" w:cs="Times New Roman"/>
          <w:b/>
          <w:color w:val="000000" w:themeColor="text1"/>
          <w:sz w:val="22"/>
        </w:rPr>
        <w:lastRenderedPageBreak/>
        <w:t>Supplementary Materials</w:t>
      </w:r>
    </w:p>
    <w:p w:rsidR="008757B3" w:rsidRPr="001C1F2D" w:rsidRDefault="008757B3" w:rsidP="008757B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color w:val="000000" w:themeColor="text1"/>
          <w:sz w:val="22"/>
        </w:rPr>
      </w:pPr>
      <w:r w:rsidRPr="001C1F2D">
        <w:rPr>
          <w:rStyle w:val="tgt1"/>
          <w:rFonts w:ascii="Times New Roman" w:hAnsi="Times New Roman" w:cs="Times New Roman"/>
          <w:b/>
          <w:color w:val="000000" w:themeColor="text1"/>
          <w:sz w:val="22"/>
        </w:rPr>
        <w:t>Quantitative RT-PCR assay</w:t>
      </w:r>
    </w:p>
    <w:p w:rsidR="008757B3" w:rsidRPr="001C1F2D" w:rsidRDefault="008757B3" w:rsidP="008757B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The 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qRT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-PCR reaction contained 5 µL RNA, 5 µL of 4× 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TaqMan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Fast Virus 1-step mix (Applied 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Biosystems,Vilnius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, Lithuania), 1</w:t>
      </w:r>
      <w:r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r>
        <w:rPr>
          <w:rStyle w:val="tgt1"/>
          <w:rFonts w:ascii="Times New Roman" w:hAnsi="Times New Roman" w:cs="Times New Roman"/>
          <w:color w:val="000000" w:themeColor="text1"/>
          <w:sz w:val="22"/>
        </w:rPr>
        <w:t>L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of forward primer (10 µ</w:t>
      </w:r>
      <w:proofErr w:type="spellStart"/>
      <w:r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>
        <w:rPr>
          <w:rStyle w:val="tgt1"/>
          <w:rFonts w:ascii="Times New Roman" w:hAnsi="Times New Roman" w:cs="Times New Roman"/>
          <w:color w:val="000000" w:themeColor="text1"/>
          <w:sz w:val="22"/>
        </w:rPr>
        <w:t>/L), 1 µL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of reverse primer (10 µ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/L), </w:t>
      </w:r>
      <w:r>
        <w:rPr>
          <w:rStyle w:val="tgt1"/>
          <w:rFonts w:ascii="Times New Roman" w:hAnsi="Times New Roman" w:cs="Times New Roman"/>
          <w:color w:val="000000" w:themeColor="text1"/>
          <w:sz w:val="22"/>
        </w:rPr>
        <w:t>0.5 µL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of probe (10 µ</w:t>
      </w:r>
      <w:proofErr w:type="spellStart"/>
      <w:r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), The sequences of the primers and probe was were as follows: Forward: 5</w:t>
      </w:r>
      <w:r w:rsidRPr="00D9060A">
        <w:rPr>
          <w:rFonts w:ascii="Times New Roman" w:eastAsia="SimSun" w:hAnsi="Times New Roman" w:cs="Times New Roman"/>
          <w:sz w:val="22"/>
        </w:rPr>
        <w:t>′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-TCCTGGTGATTCTTCTTCAGGT-3</w:t>
      </w:r>
      <w:r w:rsidRPr="00D9060A">
        <w:rPr>
          <w:rFonts w:ascii="Times New Roman" w:eastAsia="SimSun" w:hAnsi="Times New Roman" w:cs="Times New Roman"/>
          <w:sz w:val="22"/>
        </w:rPr>
        <w:t>′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, Reverse:5</w:t>
      </w:r>
      <w:r w:rsidRPr="00D9060A">
        <w:rPr>
          <w:rFonts w:ascii="Times New Roman" w:eastAsia="SimSun" w:hAnsi="Times New Roman" w:cs="Times New Roman"/>
          <w:sz w:val="22"/>
        </w:rPr>
        <w:t>′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-TCTGAGAGAGGGTCAAGTGC-3</w:t>
      </w:r>
      <w:bookmarkStart w:id="3" w:name="OLE_LINK86"/>
      <w:bookmarkStart w:id="4" w:name="OLE_LINK87"/>
      <w:bookmarkStart w:id="5" w:name="OLE_LINK83"/>
      <w:bookmarkStart w:id="6" w:name="OLE_LINK89"/>
      <w:r w:rsidRPr="00D9060A">
        <w:rPr>
          <w:rFonts w:ascii="Times New Roman" w:eastAsia="SimSun" w:hAnsi="Times New Roman" w:cs="Times New Roman"/>
          <w:sz w:val="22"/>
        </w:rPr>
        <w:t>′</w:t>
      </w:r>
      <w:bookmarkEnd w:id="3"/>
      <w:bookmarkEnd w:id="4"/>
      <w:bookmarkEnd w:id="5"/>
      <w:bookmarkEnd w:id="6"/>
      <w:r>
        <w:rPr>
          <w:rStyle w:val="tgt1"/>
          <w:rFonts w:ascii="Times New Roman" w:hAnsi="Times New Roman" w:cs="Times New Roman"/>
          <w:color w:val="000000" w:themeColor="text1"/>
          <w:sz w:val="22"/>
        </w:rPr>
        <w:t>,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Probe: 5’FAM-AGCTGCAGCACCAGCTGTCCA-BHQ1, and 7.5</w:t>
      </w:r>
      <w:r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µL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of sterile deionized water; final volume was 20 µl. Reactions were performed in a 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LightCycler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480 Real Time PCR instrument (Roche Diagnostics, </w:t>
      </w:r>
      <w:proofErr w:type="spellStart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>Mannheim,Germany</w:t>
      </w:r>
      <w:proofErr w:type="spellEnd"/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). Amplification conditions were as follows: reverse transcription at 50 </w:t>
      </w:r>
      <w:r w:rsidRPr="001C1F2D">
        <w:rPr>
          <w:rStyle w:val="tgt1"/>
          <w:rFonts w:ascii="Times New Roman" w:eastAsia="SimSun" w:hAnsi="Times New Roman" w:cs="Times New Roman"/>
          <w:color w:val="000000" w:themeColor="text1"/>
          <w:sz w:val="22"/>
        </w:rPr>
        <w:t>°C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for 5 min; pre-denaturation at 95 </w:t>
      </w:r>
      <w:r w:rsidRPr="001C1F2D">
        <w:rPr>
          <w:rStyle w:val="tgt1"/>
          <w:rFonts w:ascii="Times New Roman" w:eastAsia="SimSun" w:hAnsi="Times New Roman" w:cs="Times New Roman"/>
          <w:color w:val="000000" w:themeColor="text1"/>
          <w:sz w:val="22"/>
        </w:rPr>
        <w:t>°C</w:t>
      </w:r>
      <w:r w:rsidRPr="001C1F2D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for 10 sec; and 40 cycles of PCR amplification consisting of denaturation at 95 °C for 5 sec, annealing at 60 °C for 30 sec, and fluorescence measurement.</w:t>
      </w:r>
    </w:p>
    <w:p w:rsidR="008757B3" w:rsidRPr="00E97DFB" w:rsidRDefault="008757B3" w:rsidP="008757B3">
      <w:pPr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color w:val="000000" w:themeColor="text1"/>
          <w:sz w:val="22"/>
        </w:rPr>
      </w:pPr>
    </w:p>
    <w:p w:rsidR="008757B3" w:rsidRPr="00E97DFB" w:rsidRDefault="008757B3" w:rsidP="008757B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b/>
          <w:bCs/>
          <w:color w:val="000000" w:themeColor="text1"/>
          <w:sz w:val="22"/>
        </w:rPr>
      </w:pPr>
      <w:r w:rsidRPr="00E97DFB">
        <w:rPr>
          <w:rStyle w:val="tgt1"/>
          <w:rFonts w:ascii="Times New Roman" w:hAnsi="Times New Roman" w:cs="Times New Roman"/>
          <w:b/>
          <w:bCs/>
          <w:color w:val="000000" w:themeColor="text1"/>
          <w:sz w:val="22"/>
        </w:rPr>
        <w:t>Integrated Recombinant Polymerase Amplification (I-RPA)</w:t>
      </w:r>
    </w:p>
    <w:p w:rsidR="008757B3" w:rsidRPr="00E97DFB" w:rsidRDefault="008757B3" w:rsidP="008757B3">
      <w:pPr>
        <w:autoSpaceDE w:val="0"/>
        <w:autoSpaceDN w:val="0"/>
        <w:adjustRightInd w:val="0"/>
        <w:snapToGrid w:val="0"/>
        <w:spacing w:line="360" w:lineRule="auto"/>
        <w:rPr>
          <w:rStyle w:val="tgt1"/>
          <w:rFonts w:ascii="Times New Roman" w:hAnsi="Times New Roman" w:cs="Times New Roman"/>
          <w:sz w:val="22"/>
        </w:rPr>
      </w:pPr>
      <w:proofErr w:type="gramStart"/>
      <w:r w:rsidRPr="00E97DFB">
        <w:rPr>
          <w:rStyle w:val="tgt1"/>
          <w:rFonts w:ascii="Times New Roman" w:hAnsi="Times New Roman" w:cs="Times New Roman"/>
          <w:sz w:val="22"/>
        </w:rPr>
        <w:t>The I</w:t>
      </w:r>
      <w:proofErr w:type="gramEnd"/>
      <w:r w:rsidRPr="00E97DFB">
        <w:rPr>
          <w:rStyle w:val="tgt1"/>
          <w:rFonts w:ascii="Times New Roman" w:hAnsi="Times New Roman" w:cs="Times New Roman"/>
          <w:sz w:val="22"/>
        </w:rPr>
        <w:t>-RPA system comprised a cartridge and an automatic nucleic acid detection device. The cartridge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</w:t>
      </w:r>
      <w:r w:rsidRPr="00E97DFB">
        <w:rPr>
          <w:rStyle w:val="tgt1"/>
          <w:rFonts w:ascii="Times New Roman" w:hAnsi="Times New Roman" w:cs="Times New Roman"/>
          <w:sz w:val="22"/>
        </w:rPr>
        <w:t>) consists of area 1, area 2, and area 3, adjacent areas are separated by a plunger seal.</w:t>
      </w:r>
    </w:p>
    <w:p w:rsidR="008757B3" w:rsidRPr="006B3C03" w:rsidRDefault="008757B3" w:rsidP="008757B3">
      <w:pPr>
        <w:autoSpaceDE w:val="0"/>
        <w:autoSpaceDN w:val="0"/>
        <w:adjustRightInd w:val="0"/>
        <w:snapToGrid w:val="0"/>
        <w:spacing w:line="360" w:lineRule="auto"/>
        <w:ind w:firstLineChars="100" w:firstLine="220"/>
        <w:rPr>
          <w:rFonts w:ascii="Times New Roman" w:hAnsi="Times New Roman" w:cs="Times New Roman"/>
          <w:sz w:val="22"/>
        </w:rPr>
      </w:pPr>
      <w:r w:rsidRPr="00E97DFB">
        <w:rPr>
          <w:rStyle w:val="tgt1"/>
          <w:rFonts w:ascii="Times New Roman" w:hAnsi="Times New Roman" w:cs="Times New Roman"/>
          <w:sz w:val="22"/>
        </w:rPr>
        <w:t xml:space="preserve">Sample treatment buffer consisted of TECP (0.1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 and EDTA (0.001 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E97DFB">
        <w:rPr>
          <w:rStyle w:val="tgt1"/>
          <w:rFonts w:ascii="Times New Roman" w:hAnsi="Times New Roman" w:cs="Times New Roman"/>
          <w:sz w:val="22"/>
        </w:rPr>
        <w:t>). RPA reaction mixture was prepared by adding 40.2 mL of buffer A (</w:t>
      </w:r>
      <w:proofErr w:type="spellStart"/>
      <w:r w:rsidRPr="00E97DFB">
        <w:rPr>
          <w:rStyle w:val="tgt1"/>
          <w:rFonts w:ascii="Times New Roman" w:hAnsi="Times New Roman" w:cs="Times New Roman"/>
          <w:sz w:val="22"/>
        </w:rPr>
        <w:t>Zhongce</w:t>
      </w:r>
      <w:proofErr w:type="spellEnd"/>
      <w:r w:rsidRPr="00E97DFB">
        <w:rPr>
          <w:rStyle w:val="tgt1"/>
          <w:rFonts w:ascii="Times New Roman" w:hAnsi="Times New Roman" w:cs="Times New Roman"/>
          <w:sz w:val="22"/>
        </w:rPr>
        <w:t xml:space="preserve"> Inc., Hangzhou, China), 10 mL of water, 2.1 mL of forward primer (10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), 2.1 mL of reverse primer (10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), and 0.6 mL of the probe (10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mol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/L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 to the dry enzyme tube, followed by mixing. For the I-RPA assay, the plunger seals in the cartridge were turned to the open position, and 10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L of each clinical sample was mixed with 1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µ</w:t>
      </w:r>
      <w:r w:rsidRPr="00E97DFB">
        <w:rPr>
          <w:rStyle w:val="tgt1"/>
          <w:rFonts w:ascii="Times New Roman" w:hAnsi="Times New Roman" w:cs="Times New Roman"/>
          <w:sz w:val="22"/>
        </w:rPr>
        <w:t>L of sample treatment buffer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1A-a</w:t>
      </w:r>
      <w:r>
        <w:rPr>
          <w:rStyle w:val="tgt1"/>
          <w:rFonts w:ascii="Times New Roman" w:hAnsi="Times New Roman" w:cs="Times New Roman"/>
          <w:sz w:val="22"/>
        </w:rPr>
        <w:t>). The mixture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 was added to area 1 of the cartridge, after which plunger seal 1 was closed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1A-b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). Next, 2.5 </w:t>
      </w:r>
      <w:proofErr w:type="spellStart"/>
      <w:r w:rsidRPr="00E97DFB">
        <w:rPr>
          <w:rStyle w:val="tgt1"/>
          <w:rFonts w:ascii="Times New Roman" w:hAnsi="Times New Roman" w:cs="Times New Roman"/>
          <w:sz w:val="22"/>
        </w:rPr>
        <w:t>μ</w:t>
      </w:r>
      <w:r>
        <w:rPr>
          <w:rStyle w:val="tgt1"/>
          <w:rFonts w:ascii="Times New Roman" w:hAnsi="Times New Roman" w:cs="Times New Roman"/>
          <w:sz w:val="22"/>
        </w:rPr>
        <w:t>L</w:t>
      </w:r>
      <w:proofErr w:type="spellEnd"/>
      <w:r w:rsidRPr="00E97DFB">
        <w:rPr>
          <w:rStyle w:val="tgt1"/>
          <w:rFonts w:ascii="Times New Roman" w:hAnsi="Times New Roman" w:cs="Times New Roman"/>
          <w:sz w:val="22"/>
        </w:rPr>
        <w:t xml:space="preserve"> of </w:t>
      </w:r>
      <w:proofErr w:type="spellStart"/>
      <w:r w:rsidRPr="00E97DFB">
        <w:rPr>
          <w:rStyle w:val="tgt1"/>
          <w:rFonts w:ascii="Times New Roman" w:hAnsi="Times New Roman" w:cs="Times New Roman"/>
          <w:sz w:val="22"/>
        </w:rPr>
        <w:t>MgAc</w:t>
      </w:r>
      <w:proofErr w:type="spellEnd"/>
      <w:r w:rsidRPr="00E97DFB">
        <w:rPr>
          <w:rStyle w:val="tgt1"/>
          <w:rFonts w:ascii="Times New Roman" w:hAnsi="Times New Roman" w:cs="Times New Roman"/>
          <w:sz w:val="22"/>
        </w:rPr>
        <w:t xml:space="preserve"> was placed in area 2 and plunger seal 2 was closed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1A-c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). Finally, the RPA reaction mixture was added to area 3 and plunger seal 3 was closed. The lid of the cartridge was closed tightly and the cartridge was placed in the I-RPA device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(LifeReady1000, Hangzhou </w:t>
      </w:r>
      <w:proofErr w:type="spell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Lifereal</w:t>
      </w:r>
      <w:proofErr w:type="spell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 Biotechnology, </w:t>
      </w:r>
      <w:proofErr w:type="gramStart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Hangzhou</w:t>
      </w:r>
      <w:proofErr w:type="gramEnd"/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, China) for amplification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1A-d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)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. The cartridge was heated at 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95 </w:t>
      </w:r>
      <w:r w:rsidRPr="00E97DFB">
        <w:rPr>
          <w:rStyle w:val="tgt1"/>
          <w:rFonts w:ascii="Times New Roman" w:eastAsia="SimSun" w:hAnsi="Times New Roman" w:cs="Times New Roman"/>
          <w:color w:val="000000" w:themeColor="text1"/>
          <w:sz w:val="22"/>
        </w:rPr>
        <w:t>°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C for 10 min and then removed from the I-RPA device. Next, plunger seals 1 and 2 were opened and the cartridge swung so that the liquid in areas 2 and 3 flowed into area 1 (</w:t>
      </w:r>
      <w:r w:rsidRPr="00E97DFB">
        <w:rPr>
          <w:rStyle w:val="tgt1"/>
          <w:rFonts w:ascii="Times New Roman" w:hAnsi="Times New Roman" w:cs="Times New Roman"/>
          <w:color w:val="0070C0"/>
          <w:sz w:val="22"/>
        </w:rPr>
        <w:t>Fig. 1A-e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 xml:space="preserve">). Finally, the cartridge was placed back in the I-RPA device and incubated at 42 </w:t>
      </w:r>
      <w:r w:rsidRPr="00E97DFB">
        <w:rPr>
          <w:rStyle w:val="tgt1"/>
          <w:rFonts w:ascii="Times New Roman" w:eastAsia="SimSun" w:hAnsi="Times New Roman" w:cs="Times New Roman"/>
          <w:color w:val="000000" w:themeColor="text1"/>
          <w:sz w:val="22"/>
        </w:rPr>
        <w:t>°</w:t>
      </w:r>
      <w:r w:rsidRPr="00E97DFB">
        <w:rPr>
          <w:rStyle w:val="tgt1"/>
          <w:rFonts w:ascii="Times New Roman" w:hAnsi="Times New Roman" w:cs="Times New Roman"/>
          <w:color w:val="000000" w:themeColor="text1"/>
          <w:sz w:val="22"/>
        </w:rPr>
        <w:t>C for 20 min.</w:t>
      </w:r>
      <w:r w:rsidRPr="00E97DFB">
        <w:rPr>
          <w:rStyle w:val="tgt1"/>
          <w:rFonts w:ascii="Times New Roman" w:hAnsi="Times New Roman" w:cs="Times New Roman"/>
          <w:sz w:val="22"/>
        </w:rPr>
        <w:t xml:space="preserve"> Real-time fluorescence signals were detected and analyzed</w:t>
      </w:r>
      <w:r w:rsidRPr="00E97DFB">
        <w:rPr>
          <w:rFonts w:ascii="Times New Roman" w:hAnsi="Times New Roman" w:cs="Times New Roman"/>
          <w:sz w:val="22"/>
        </w:rPr>
        <w:t xml:space="preserve"> </w:t>
      </w:r>
      <w:r w:rsidRPr="00E97DFB">
        <w:rPr>
          <w:rStyle w:val="tgt1"/>
          <w:rFonts w:ascii="Times New Roman" w:hAnsi="Times New Roman" w:cs="Times New Roman"/>
          <w:sz w:val="22"/>
        </w:rPr>
        <w:t>over time.</w:t>
      </w:r>
      <w:r w:rsidRPr="006B3C03">
        <w:rPr>
          <w:rStyle w:val="tgt1"/>
          <w:rFonts w:ascii="Times New Roman" w:hAnsi="Times New Roman" w:cs="Times New Roman"/>
          <w:sz w:val="22"/>
        </w:rPr>
        <w:t xml:space="preserve"> </w:t>
      </w:r>
    </w:p>
    <w:p w:rsidR="008757B3" w:rsidRPr="006B3C03" w:rsidRDefault="008757B3" w:rsidP="008757B3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</w:p>
    <w:p w:rsidR="008757B3" w:rsidRPr="006B3C03" w:rsidRDefault="008757B3" w:rsidP="008757B3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  <w:r w:rsidRPr="006B3C03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br w:type="page"/>
      </w:r>
    </w:p>
    <w:p w:rsidR="008757B3" w:rsidRPr="00484369" w:rsidRDefault="008757B3" w:rsidP="008757B3">
      <w:pPr>
        <w:widowControl/>
        <w:spacing w:line="480" w:lineRule="auto"/>
        <w:contextualSpacing/>
        <w:jc w:val="left"/>
        <w:rPr>
          <w:rFonts w:ascii="Times New Roman" w:hAnsi="Times New Roman" w:cs="Times New Roman"/>
          <w:sz w:val="22"/>
          <w:lang w:val="en-GB"/>
        </w:rPr>
      </w:pPr>
      <w:r w:rsidRPr="00484369">
        <w:rPr>
          <w:rFonts w:ascii="Times New Roman" w:hAnsi="Times New Roman" w:cs="Times New Roman"/>
          <w:b/>
          <w:sz w:val="22"/>
          <w:lang w:val="en-GB"/>
        </w:rPr>
        <w:lastRenderedPageBreak/>
        <w:t>Table S1.</w:t>
      </w:r>
      <w:r w:rsidRPr="00484369">
        <w:rPr>
          <w:rFonts w:ascii="Times New Roman" w:hAnsi="Times New Roman" w:cs="Times New Roman"/>
          <w:sz w:val="22"/>
          <w:lang w:val="en-GB"/>
        </w:rPr>
        <w:t xml:space="preserve"> Sequences of the primers and probe used for the RPA assay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386"/>
        <w:gridCol w:w="2693"/>
      </w:tblGrid>
      <w:tr w:rsidR="008757B3" w:rsidRPr="00484369" w:rsidTr="001A2E5A">
        <w:trPr>
          <w:trHeight w:val="31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Primer name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Sequence </w:t>
            </w:r>
            <w:r w:rsidRPr="0048436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(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5’to 3’</w:t>
            </w:r>
            <w:r w:rsidRPr="00484369">
              <w:rPr>
                <w:rFonts w:ascii="Times New Roman" w:eastAsia="SimSun" w:hAnsi="Times New Roman" w:cs="Times New Roman" w:hint="eastAsia"/>
                <w:kern w:val="0"/>
                <w:sz w:val="22"/>
              </w:rPr>
              <w:t>)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57B3" w:rsidRPr="00484369" w:rsidRDefault="008757B3" w:rsidP="001A2E5A">
            <w:pPr>
              <w:widowControl/>
              <w:tabs>
                <w:tab w:val="left" w:pos="500"/>
                <w:tab w:val="left" w:pos="2540"/>
                <w:tab w:val="center" w:pos="4563"/>
              </w:tabs>
              <w:adjustRightInd w:val="0"/>
              <w:snapToGrid w:val="0"/>
              <w:ind w:rightChars="300" w:right="63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Position (size, </w:t>
            </w:r>
            <w:proofErr w:type="spellStart"/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bp</w:t>
            </w:r>
            <w:proofErr w:type="spellEnd"/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)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</w:tr>
      <w:tr w:rsidR="008757B3" w:rsidRPr="00484369" w:rsidTr="001A2E5A">
        <w:trPr>
          <w:trHeight w:val="442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Cov-RPA-F2</w:t>
            </w:r>
          </w:p>
        </w:tc>
        <w:tc>
          <w:tcPr>
            <w:tcW w:w="5386" w:type="dxa"/>
            <w:tcBorders>
              <w:top w:val="single" w:sz="4" w:space="0" w:color="auto"/>
              <w:right w:val="nil"/>
            </w:tcBorders>
            <w:vAlign w:val="bottom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ACATAGAAGTTATTTGACTCCTGGTGATTC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22,269</w:t>
            </w:r>
            <w:bookmarkStart w:id="7" w:name="OLE_LINK42"/>
            <w:bookmarkStart w:id="8" w:name="OLE_LINK43"/>
            <w:bookmarkStart w:id="9" w:name="OLE_LINK75"/>
            <w:bookmarkStart w:id="10" w:name="OLE_LINK78"/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bookmarkEnd w:id="7"/>
            <w:bookmarkEnd w:id="8"/>
            <w:bookmarkEnd w:id="9"/>
            <w:bookmarkEnd w:id="10"/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22,298 (30)</w:t>
            </w:r>
          </w:p>
        </w:tc>
      </w:tr>
      <w:tr w:rsidR="008757B3" w:rsidRPr="00484369" w:rsidTr="001A2E5A">
        <w:trPr>
          <w:trHeight w:val="312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Cov-RPA-F3</w:t>
            </w:r>
          </w:p>
        </w:tc>
        <w:tc>
          <w:tcPr>
            <w:tcW w:w="5386" w:type="dxa"/>
            <w:tcBorders>
              <w:right w:val="nil"/>
            </w:tcBorders>
            <w:vAlign w:val="bottom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TAGAAGTTATTTGACTCCTGGTGATTCTTC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22,272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22,301 (30)</w:t>
            </w:r>
          </w:p>
        </w:tc>
      </w:tr>
      <w:tr w:rsidR="008757B3" w:rsidRPr="00484369" w:rsidTr="001A2E5A">
        <w:trPr>
          <w:trHeight w:val="312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Cov-RPA-F1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TATTTGACTCCTGGTGATTCTTCTTCAGGT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22,279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22,308 (30)</w:t>
            </w:r>
          </w:p>
        </w:tc>
      </w:tr>
      <w:tr w:rsidR="008757B3" w:rsidRPr="00484369" w:rsidTr="001A2E5A">
        <w:trPr>
          <w:trHeight w:val="690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spellStart"/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</w:t>
            </w:r>
            <w:proofErr w:type="spellEnd"/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-RPA-P</w:t>
            </w:r>
          </w:p>
        </w:tc>
        <w:tc>
          <w:tcPr>
            <w:tcW w:w="5386" w:type="dxa"/>
            <w:tcBorders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AAAGTCCTAGGTTGAAGATAACCCACATAA</w:t>
            </w:r>
            <w:r w:rsidRPr="00484369"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  <w:t>F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AA</w:t>
            </w:r>
            <w:r w:rsidRPr="00484369"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  <w:t>H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</w:t>
            </w:r>
            <w:r w:rsidRPr="00484369"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  <w:t>Q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GCAGCACCAGCTGTCCA-[</w:t>
            </w:r>
            <w:r w:rsidRPr="00484369">
              <w:rPr>
                <w:rFonts w:ascii="Times New Roman" w:hAnsi="Times New Roman" w:cs="Times New Roman"/>
                <w:sz w:val="22"/>
                <w:lang w:val="en-GB"/>
              </w:rPr>
              <w:t>3</w:t>
            </w:r>
            <w:r w:rsidRPr="00484369">
              <w:rPr>
                <w:rFonts w:ascii="Times New Roman" w:hAnsi="Times New Roman" w:cs="Times New Roman"/>
                <w:sz w:val="22"/>
                <w:lang w:val="en-GB"/>
              </w:rPr>
              <w:sym w:font="Symbol" w:char="F0A2"/>
            </w:r>
            <w:r w:rsidRPr="00484369">
              <w:rPr>
                <w:rFonts w:ascii="Times New Roman" w:hAnsi="Times New Roman" w:cs="Times New Roman"/>
                <w:sz w:val="22"/>
                <w:lang w:val="en-GB"/>
              </w:rPr>
              <w:t>-block]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22,309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22,361 (53)</w:t>
            </w:r>
          </w:p>
        </w:tc>
      </w:tr>
      <w:tr w:rsidR="008757B3" w:rsidRPr="00484369" w:rsidTr="001A2E5A">
        <w:trPr>
          <w:trHeight w:val="312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Cov-RPA-R1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ACACTTTGTTTCTGAGAGAGGGTCAAGTGC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22,411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22,440 (30)</w:t>
            </w:r>
          </w:p>
        </w:tc>
      </w:tr>
      <w:tr w:rsidR="008757B3" w:rsidRPr="00484369" w:rsidTr="001A2E5A">
        <w:trPr>
          <w:trHeight w:val="312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CoV-RPA-R2 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TCAAGTGCACAGTCTACAGCATCTGTAATG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22,389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22,418 (30)</w:t>
            </w:r>
          </w:p>
        </w:tc>
      </w:tr>
      <w:tr w:rsidR="008757B3" w:rsidRPr="00484369" w:rsidTr="001A2E5A">
        <w:trPr>
          <w:trHeight w:val="312"/>
        </w:trPr>
        <w:tc>
          <w:tcPr>
            <w:tcW w:w="1844" w:type="dxa"/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CoV-RPA-R3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  <w:vAlign w:val="center"/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AACAATAGATTCTGTTGGTTGGACTCTAAA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B3" w:rsidRPr="00484369" w:rsidRDefault="008757B3" w:rsidP="001A2E5A">
            <w:pPr>
              <w:widowControl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22,489</w:t>
            </w:r>
            <w:r w:rsidRPr="00484369">
              <w:rPr>
                <w:rFonts w:ascii="Times New Roman" w:eastAsia="SimSun" w:hAnsi="Times New Roman" w:cs="Times New Roman"/>
                <w:sz w:val="22"/>
              </w:rPr>
              <w:t>–</w:t>
            </w:r>
            <w:r w:rsidRPr="00484369">
              <w:rPr>
                <w:rFonts w:ascii="Times New Roman" w:eastAsia="SimSun" w:hAnsi="Times New Roman" w:cs="Times New Roman"/>
                <w:kern w:val="0"/>
                <w:sz w:val="22"/>
              </w:rPr>
              <w:t>22,518 (30)</w:t>
            </w:r>
          </w:p>
        </w:tc>
      </w:tr>
    </w:tbl>
    <w:p w:rsidR="008757B3" w:rsidRPr="00484369" w:rsidRDefault="008757B3" w:rsidP="008757B3">
      <w:pPr>
        <w:autoSpaceDE w:val="0"/>
        <w:autoSpaceDN w:val="0"/>
        <w:adjustRightInd w:val="0"/>
        <w:snapToGrid w:val="0"/>
        <w:rPr>
          <w:sz w:val="22"/>
        </w:rPr>
      </w:pPr>
      <w:proofErr w:type="gramStart"/>
      <w:r w:rsidRPr="00484369">
        <w:rPr>
          <w:rFonts w:ascii="Times New Roman" w:hAnsi="Times New Roman" w:cs="Times New Roman"/>
          <w:sz w:val="22"/>
          <w:vertAlign w:val="superscript"/>
          <w:lang w:val="en-GB"/>
        </w:rPr>
        <w:t>a</w:t>
      </w:r>
      <w:proofErr w:type="gramEnd"/>
      <w:r w:rsidRPr="00484369">
        <w:rPr>
          <w:rFonts w:ascii="Times New Roman" w:hAnsi="Times New Roman" w:cs="Times New Roman"/>
          <w:sz w:val="22"/>
          <w:lang w:val="en-GB"/>
        </w:rPr>
        <w:t xml:space="preserve"> F: FAM-</w:t>
      </w:r>
      <w:proofErr w:type="spellStart"/>
      <w:r w:rsidRPr="00484369">
        <w:rPr>
          <w:rFonts w:ascii="Times New Roman" w:hAnsi="Times New Roman" w:cs="Times New Roman"/>
          <w:sz w:val="22"/>
          <w:lang w:val="en-GB"/>
        </w:rPr>
        <w:t>dT</w:t>
      </w:r>
      <w:proofErr w:type="spellEnd"/>
      <w:r w:rsidRPr="00484369">
        <w:rPr>
          <w:rFonts w:ascii="Times New Roman" w:hAnsi="Times New Roman" w:cs="Times New Roman"/>
          <w:sz w:val="22"/>
          <w:lang w:val="en-GB"/>
        </w:rPr>
        <w:t>, thymidine nucleotide carrying fluorescein; H: THF, tetrahydrofuran spacer; Q: BHQ1-dT, thymidine nucleotide carrying Black-Hole Quencher 1; 3</w:t>
      </w:r>
      <w:r w:rsidRPr="00484369">
        <w:rPr>
          <w:rFonts w:ascii="Times New Roman" w:hAnsi="Times New Roman" w:cs="Times New Roman"/>
          <w:sz w:val="22"/>
          <w:lang w:val="en-GB"/>
        </w:rPr>
        <w:sym w:font="Symbol" w:char="F0A2"/>
      </w:r>
      <w:r w:rsidRPr="00484369">
        <w:rPr>
          <w:rFonts w:ascii="Times New Roman" w:hAnsi="Times New Roman" w:cs="Times New Roman"/>
          <w:sz w:val="22"/>
          <w:lang w:val="en-GB"/>
        </w:rPr>
        <w:t>-block: 3</w:t>
      </w:r>
      <w:r w:rsidRPr="00484369">
        <w:rPr>
          <w:rFonts w:ascii="Times New Roman" w:hAnsi="Times New Roman" w:cs="Times New Roman"/>
          <w:sz w:val="22"/>
          <w:lang w:val="en-GB"/>
        </w:rPr>
        <w:sym w:font="Symbol" w:char="F0A2"/>
      </w:r>
      <w:r w:rsidRPr="00484369">
        <w:rPr>
          <w:rFonts w:ascii="Times New Roman" w:hAnsi="Times New Roman" w:cs="Times New Roman"/>
          <w:sz w:val="22"/>
          <w:lang w:val="en-GB"/>
        </w:rPr>
        <w:t>-phosphate introduced to block elongation.</w:t>
      </w:r>
      <w:r w:rsidRPr="00484369">
        <w:rPr>
          <w:sz w:val="22"/>
        </w:rPr>
        <w:t xml:space="preserve"> </w:t>
      </w:r>
    </w:p>
    <w:p w:rsidR="008757B3" w:rsidRPr="00484369" w:rsidRDefault="008757B3" w:rsidP="008757B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vertAlign w:val="superscript"/>
          <w:lang w:val="en-GB"/>
        </w:rPr>
        <w:t>b</w:t>
      </w:r>
      <w:proofErr w:type="gramEnd"/>
      <w:r>
        <w:rPr>
          <w:rFonts w:ascii="Times New Roman" w:hAnsi="Times New Roman" w:cs="Times New Roman"/>
          <w:sz w:val="22"/>
          <w:vertAlign w:val="superscript"/>
          <w:lang w:val="en-GB"/>
        </w:rPr>
        <w:t xml:space="preserve"> </w:t>
      </w:r>
      <w:r w:rsidRPr="00484369">
        <w:rPr>
          <w:rFonts w:ascii="Times New Roman" w:hAnsi="Times New Roman" w:cs="Times New Roman"/>
          <w:sz w:val="22"/>
          <w:lang w:val="en-GB"/>
        </w:rPr>
        <w:t>Numbers in position column are primer position</w:t>
      </w:r>
      <w:r>
        <w:rPr>
          <w:rFonts w:ascii="Times New Roman" w:hAnsi="Times New Roman" w:cs="Times New Roman"/>
          <w:sz w:val="22"/>
          <w:lang w:val="en-GB"/>
        </w:rPr>
        <w:t>s according to SARS-CoV-2, hCoV-1</w:t>
      </w:r>
      <w:r w:rsidRPr="00484369">
        <w:rPr>
          <w:rFonts w:ascii="Times New Roman" w:hAnsi="Times New Roman" w:cs="Times New Roman"/>
          <w:sz w:val="22"/>
          <w:lang w:val="en-GB"/>
        </w:rPr>
        <w:t>9/Wuhan/WH01/2019|EPI_ISL_406798|2019-12-26</w:t>
      </w:r>
    </w:p>
    <w:p w:rsidR="008757B3" w:rsidRPr="00005332" w:rsidRDefault="008757B3" w:rsidP="008757B3">
      <w:pPr>
        <w:widowControl/>
        <w:spacing w:line="480" w:lineRule="auto"/>
        <w:contextualSpacing/>
        <w:jc w:val="left"/>
        <w:rPr>
          <w:rFonts w:ascii="Times New Roman" w:hAnsi="Times New Roman" w:cs="Times New Roman"/>
          <w:b/>
          <w:sz w:val="22"/>
          <w:lang w:val="en-GB"/>
        </w:rPr>
        <w:sectPr w:rsidR="008757B3" w:rsidRPr="00005332" w:rsidSect="00136B7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757B3" w:rsidRDefault="008757B3" w:rsidP="008757B3">
      <w:pPr>
        <w:widowControl/>
        <w:spacing w:line="48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16477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Pr="00164778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164778">
        <w:rPr>
          <w:rFonts w:ascii="Times New Roman" w:hAnsi="Times New Roman" w:cs="Times New Roman"/>
          <w:sz w:val="24"/>
          <w:szCs w:val="24"/>
          <w:lang w:val="en-GB"/>
        </w:rPr>
        <w:t xml:space="preserve"> Analysis of clinical samples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164778">
        <w:rPr>
          <w:rFonts w:ascii="Times New Roman" w:hAnsi="Times New Roman" w:cs="Times New Roman"/>
          <w:sz w:val="24"/>
          <w:szCs w:val="24"/>
          <w:lang w:val="en-GB"/>
        </w:rPr>
        <w:t xml:space="preserve">-RPA and </w:t>
      </w:r>
      <w:proofErr w:type="spellStart"/>
      <w:r w:rsidRPr="00164778">
        <w:rPr>
          <w:rFonts w:ascii="Times New Roman" w:hAnsi="Times New Roman" w:cs="Times New Roman"/>
          <w:sz w:val="24"/>
          <w:szCs w:val="24"/>
          <w:lang w:val="en-GB"/>
        </w:rPr>
        <w:t>rRT</w:t>
      </w:r>
      <w:proofErr w:type="spellEnd"/>
      <w:r w:rsidRPr="00164778">
        <w:rPr>
          <w:rFonts w:ascii="Times New Roman" w:hAnsi="Times New Roman" w:cs="Times New Roman"/>
          <w:sz w:val="24"/>
          <w:szCs w:val="24"/>
          <w:lang w:val="en-GB"/>
        </w:rPr>
        <w:t>-PCR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944"/>
        <w:gridCol w:w="2390"/>
        <w:gridCol w:w="608"/>
        <w:gridCol w:w="1327"/>
        <w:gridCol w:w="943"/>
        <w:gridCol w:w="2206"/>
      </w:tblGrid>
      <w:tr w:rsidR="008757B3" w:rsidRPr="006B3C03" w:rsidTr="001A2E5A">
        <w:trPr>
          <w:trHeight w:val="300"/>
        </w:trPr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Results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Results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I-RPA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Real-time Ct  </w:t>
            </w:r>
            <w:r w:rsidRPr="006B3C03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value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(M</w:t>
            </w:r>
            <w:r w:rsidRPr="006B3C03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ean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2SD)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I-RPA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Real-time Ct  </w:t>
            </w:r>
            <w:r w:rsidRPr="006B3C03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value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(M</w:t>
            </w:r>
            <w:r w:rsidRPr="006B3C03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ean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2SD)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27.31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0.18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26.98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25.31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29.72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29.81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26.59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22.88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29.07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31.72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28.53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30.65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0.21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27.66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33.79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0.37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31.71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29.46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25.27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29.92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35.83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29.2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25.75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0.89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29.07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36.58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31.59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20.71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33.48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35.31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33.14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36.84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38.69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0.33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37.11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33.21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29.09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±1</w:t>
            </w:r>
            <w:r w:rsidRPr="006B3C03">
              <w:rPr>
                <w:rFonts w:ascii="SimSun" w:eastAsia="SimSun" w:hAnsi="SimSun" w:cs="Times New Roman"/>
                <w:color w:val="000000"/>
                <w:kern w:val="0"/>
                <w:sz w:val="22"/>
              </w:rPr>
              <w:t>.32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27.88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</w:t>
            </w:r>
          </w:p>
        </w:tc>
      </w:tr>
      <w:tr w:rsidR="008757B3" w:rsidRPr="006B3C03" w:rsidTr="001A2E5A">
        <w:trPr>
          <w:trHeight w:val="300"/>
        </w:trPr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17.31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B3" w:rsidRPr="006B3C03" w:rsidRDefault="008757B3" w:rsidP="001A2E5A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32.83</w:t>
            </w:r>
            <w:r w:rsidRPr="006B3C0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±</w:t>
            </w:r>
            <w:r w:rsidRPr="006B3C0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0.88</w:t>
            </w:r>
          </w:p>
        </w:tc>
      </w:tr>
    </w:tbl>
    <w:p w:rsidR="008757B3" w:rsidRPr="00AE465B" w:rsidRDefault="008757B3" w:rsidP="008757B3">
      <w:pPr>
        <w:widowControl/>
        <w:shd w:val="clear" w:color="auto" w:fill="FFFFFF"/>
        <w:adjustRightInd w:val="0"/>
        <w:snapToGrid w:val="0"/>
        <w:spacing w:line="360" w:lineRule="auto"/>
        <w:jc w:val="left"/>
        <w:outlineLvl w:val="0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>P: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>positive; N: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>negative;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P1-P38:</w:t>
      </w:r>
      <w:r w:rsidRPr="002F5C39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>Pharyngeal swab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samples;</w:t>
      </w: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1-S4:</w:t>
      </w:r>
      <w:r w:rsidRPr="00164778">
        <w:rPr>
          <w:rFonts w:ascii="Times New Roman" w:hAnsi="Times New Roman" w:cs="Times New Roman"/>
          <w:noProof/>
          <w:sz w:val="24"/>
          <w:szCs w:val="24"/>
          <w:lang w:val="en-GB"/>
        </w:rPr>
        <w:t>Sputum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samples.</w:t>
      </w:r>
    </w:p>
    <w:p w:rsidR="008757B3" w:rsidRPr="00C81BD3" w:rsidRDefault="008757B3" w:rsidP="008757B3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D: standard </w:t>
      </w:r>
      <w:r>
        <w:rPr>
          <w:rFonts w:ascii="Times New Roman" w:hAnsi="Times New Roman" w:cs="Times New Roman" w:hint="eastAsia"/>
          <w:sz w:val="24"/>
          <w:szCs w:val="24"/>
        </w:rPr>
        <w:t>deviation</w:t>
      </w:r>
    </w:p>
    <w:p w:rsidR="008757B3" w:rsidRPr="006B3C0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  <w:lang w:val="en-GB"/>
        </w:rPr>
      </w:pP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sectPr w:rsidR="008757B3" w:rsidSect="00136B7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</w:pPr>
      <w:r w:rsidRPr="006B3C03">
        <w:rPr>
          <w:rFonts w:ascii="Times New Roman" w:hAnsi="Times New Roman" w:cs="Times New Roman"/>
          <w:b/>
          <w:bCs/>
          <w:noProof/>
          <w:color w:val="212121"/>
          <w:sz w:val="22"/>
          <w:shd w:val="clear" w:color="auto" w:fill="FFFFFF"/>
          <w:lang w:eastAsia="en-US"/>
        </w:rPr>
        <w:lastRenderedPageBreak/>
        <w:drawing>
          <wp:inline distT="0" distB="0" distL="0" distR="0" wp14:anchorId="672424FF" wp14:editId="70AC3602">
            <wp:extent cx="6188710" cy="3138805"/>
            <wp:effectExtent l="0" t="0" r="2540" b="4445"/>
            <wp:docPr id="3" name="Picture 2" descr="C:\Users\asus\Desktop\终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sus\Desktop\终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38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57B3" w:rsidRPr="00E44EE5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  <w:r w:rsidRPr="00E44EE5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 xml:space="preserve">Figure S1. </w:t>
      </w:r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Partial alignments of oligonucleotide binding regions, SARS-CoV-2-related coronaviruses (n = 10). The panels show ten sequences of 2019-nCoV strains, aligned to the partial Spike protein sequences of hCoV-19/Wuhan/WH01/2019 beta coronavirus. The alignment also contains the India Delta variant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 </w:t>
      </w:r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(hCoV-19/India/CG-AIIMS-Raipur-F-81-24/2021, GISAID </w:t>
      </w:r>
      <w:proofErr w:type="spellStart"/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EpiFlu</w:t>
      </w:r>
      <w:proofErr w:type="spellEnd"/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™ Database accession ID is EPI_ISL_2620743), the South Africa variant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 </w:t>
      </w:r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(hCoV-19/SouthAfrica/Tygerberg-461/2020|EPI_ISL_745186|2020-12-07) and the UK variant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 </w:t>
      </w:r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(hCoV-19/England/LOND-1267020/2020 |EPI_ISL_741243| 2020-12-11). Dots represent identical nucleotides compared with the hCoV-19/Wuhan/WH01/2019 beta coronavirus sequence. N: deleted nucleotide. Blue arrows: sequences of the primers a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nd probe used for the RPA assay</w:t>
      </w:r>
      <w:r w:rsidRPr="00E44EE5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.</w:t>
      </w: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sectPr w:rsidR="008757B3" w:rsidSect="00136B7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757B3" w:rsidRDefault="008757B3" w:rsidP="008757B3">
      <w:pPr>
        <w:adjustRightInd w:val="0"/>
        <w:snapToGrid w:val="0"/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12121"/>
          <w:sz w:val="22"/>
          <w:shd w:val="clear" w:color="auto" w:fill="FFFFFF"/>
          <w:lang w:eastAsia="en-US"/>
        </w:rPr>
        <w:lastRenderedPageBreak/>
        <w:drawing>
          <wp:inline distT="0" distB="0" distL="0" distR="0" wp14:anchorId="19A0CFBC" wp14:editId="494E0D14">
            <wp:extent cx="6120000" cy="5067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06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7B3" w:rsidRPr="006B3C0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Figure S2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. Sensitivity comparison of nine primer sets.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A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sensitivity of F1R1 primers;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B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sensitivity of F1R2 primers;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C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sensitivity of F1R3 primers;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D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sensitivity of F2R1 primers;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E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sensitivity of F2R2 primers; (</w:t>
      </w:r>
      <w:r w:rsidRPr="00B108F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F</w:t>
      </w:r>
      <w:r w:rsidRPr="00B108FE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) The sensi</w:t>
      </w:r>
      <w:r w:rsidRPr="006B3C03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tivity of F2R3 primers; 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(</w:t>
      </w:r>
      <w:r w:rsidRPr="006C6D4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G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) </w:t>
      </w:r>
      <w:r w:rsidRPr="006B3C03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The sensitivity of F3R1 primers; 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(</w:t>
      </w:r>
      <w:r w:rsidRPr="006C6D4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H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) </w:t>
      </w:r>
      <w:r w:rsidRPr="006B3C03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The sensitivity of F3R2 primers; 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(</w:t>
      </w:r>
      <w:r w:rsidRPr="006C6D4E">
        <w:rPr>
          <w:rFonts w:ascii="Times New Roman" w:hAnsi="Times New Roman" w:cs="Times New Roman"/>
          <w:b/>
          <w:bCs/>
          <w:color w:val="212121"/>
          <w:sz w:val="22"/>
          <w:shd w:val="clear" w:color="auto" w:fill="FFFFFF"/>
        </w:rPr>
        <w:t>I</w:t>
      </w:r>
      <w:r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 xml:space="preserve">) </w:t>
      </w:r>
      <w:r w:rsidRPr="006B3C03"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  <w:t>The sensitivity of F3R3 primers.</w:t>
      </w:r>
    </w:p>
    <w:p w:rsidR="008757B3" w:rsidRPr="006B3C03" w:rsidRDefault="008757B3" w:rsidP="008757B3">
      <w:pPr>
        <w:adjustRightInd w:val="0"/>
        <w:snapToGrid w:val="0"/>
        <w:rPr>
          <w:rFonts w:ascii="Times New Roman" w:hAnsi="Times New Roman" w:cs="Times New Roman"/>
          <w:bCs/>
          <w:color w:val="212121"/>
          <w:sz w:val="22"/>
          <w:shd w:val="clear" w:color="auto" w:fill="FFFFFF"/>
        </w:rPr>
      </w:pPr>
    </w:p>
    <w:p w:rsidR="00C97E65" w:rsidRPr="008757B3" w:rsidRDefault="00C97E65" w:rsidP="008757B3">
      <w:pPr>
        <w:autoSpaceDE w:val="0"/>
        <w:autoSpaceDN w:val="0"/>
        <w:adjustRightInd w:val="0"/>
        <w:snapToGrid w:val="0"/>
        <w:spacing w:line="360" w:lineRule="auto"/>
        <w:rPr>
          <w:szCs w:val="21"/>
        </w:rPr>
      </w:pPr>
    </w:p>
    <w:sectPr w:rsidR="00C97E65" w:rsidRPr="008757B3" w:rsidSect="00DB774C">
      <w:headerReference w:type="default" r:id="rId10"/>
      <w:footerReference w:type="default" r:id="rId11"/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7B" w:rsidRDefault="00E96F7B" w:rsidP="000761B5">
      <w:r>
        <w:separator/>
      </w:r>
    </w:p>
  </w:endnote>
  <w:endnote w:type="continuationSeparator" w:id="0">
    <w:p w:rsidR="00E96F7B" w:rsidRDefault="00E96F7B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Default="006C161D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7B" w:rsidRDefault="00E96F7B" w:rsidP="000761B5">
      <w:r>
        <w:separator/>
      </w:r>
    </w:p>
  </w:footnote>
  <w:footnote w:type="continuationSeparator" w:id="0">
    <w:p w:rsidR="00E96F7B" w:rsidRDefault="00E96F7B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88844"/>
      <w:docPartObj>
        <w:docPartGallery w:val="Page Numbers (Top of Page)"/>
        <w:docPartUnique/>
      </w:docPartObj>
    </w:sdtPr>
    <w:sdtEndPr/>
    <w:sdtContent>
      <w:p w:rsidR="008757B3" w:rsidRDefault="008757B3" w:rsidP="008757B3">
        <w:pPr>
          <w:pStyle w:val="Header"/>
          <w:jc w:val="right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7410C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 w:rsidRPr="008757B3">
          <w:rPr>
            <w:b/>
            <w:lang w:val="zh-CN"/>
          </w:rPr>
          <w:t xml:space="preserve"> / 6</w:t>
        </w:r>
      </w:p>
    </w:sdtContent>
  </w:sdt>
  <w:p w:rsidR="008757B3" w:rsidRDefault="00875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1309"/>
      <w:docPartObj>
        <w:docPartGallery w:val="Page Numbers (Top of Page)"/>
        <w:docPartUnique/>
      </w:docPartObj>
    </w:sdtPr>
    <w:sdtEndPr/>
    <w:sdtContent>
      <w:p w:rsidR="006C161D" w:rsidRDefault="006C161D" w:rsidP="000F7652">
        <w:pPr>
          <w:pStyle w:val="Header"/>
          <w:jc w:val="right"/>
        </w:pPr>
        <w:r>
          <w:rPr>
            <w:lang w:val="zh-CN"/>
          </w:rPr>
          <w:t xml:space="preserve"> </w:t>
        </w:r>
        <w:r w:rsidR="001124A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124A5">
          <w:rPr>
            <w:b/>
            <w:sz w:val="24"/>
            <w:szCs w:val="24"/>
          </w:rPr>
          <w:fldChar w:fldCharType="separate"/>
        </w:r>
        <w:r w:rsidR="0027410C">
          <w:rPr>
            <w:b/>
            <w:noProof/>
          </w:rPr>
          <w:t>6</w:t>
        </w:r>
        <w:r w:rsidR="001124A5">
          <w:rPr>
            <w:b/>
            <w:sz w:val="24"/>
            <w:szCs w:val="24"/>
          </w:rPr>
          <w:fldChar w:fldCharType="end"/>
        </w:r>
        <w:r w:rsidRPr="008757B3">
          <w:rPr>
            <w:b/>
            <w:lang w:val="zh-CN"/>
          </w:rPr>
          <w:t xml:space="preserve"> / </w:t>
        </w:r>
        <w:r w:rsidR="008757B3" w:rsidRPr="008757B3">
          <w:rPr>
            <w:b/>
            <w:lang w:val="zh-CN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zNLc0sjA2MTUxNzNQ0lEKTi0uzszPAykwrQUA6Xi3kSwAAAA="/>
  </w:docVars>
  <w:rsids>
    <w:rsidRoot w:val="0074608F"/>
    <w:rsid w:val="00022605"/>
    <w:rsid w:val="00034E9D"/>
    <w:rsid w:val="00044E0A"/>
    <w:rsid w:val="000761B5"/>
    <w:rsid w:val="000F2C45"/>
    <w:rsid w:val="000F7652"/>
    <w:rsid w:val="00105712"/>
    <w:rsid w:val="001124A5"/>
    <w:rsid w:val="001262A2"/>
    <w:rsid w:val="00133747"/>
    <w:rsid w:val="00134DEF"/>
    <w:rsid w:val="001F1430"/>
    <w:rsid w:val="0027410C"/>
    <w:rsid w:val="00287717"/>
    <w:rsid w:val="002963A8"/>
    <w:rsid w:val="00305A7D"/>
    <w:rsid w:val="00327DB1"/>
    <w:rsid w:val="0033661A"/>
    <w:rsid w:val="003B717A"/>
    <w:rsid w:val="003D275B"/>
    <w:rsid w:val="003F4281"/>
    <w:rsid w:val="00416AE9"/>
    <w:rsid w:val="0047722A"/>
    <w:rsid w:val="004922CD"/>
    <w:rsid w:val="0049234C"/>
    <w:rsid w:val="004950A7"/>
    <w:rsid w:val="005867D3"/>
    <w:rsid w:val="005C51D4"/>
    <w:rsid w:val="00621CC1"/>
    <w:rsid w:val="0063627C"/>
    <w:rsid w:val="006958AC"/>
    <w:rsid w:val="006B388B"/>
    <w:rsid w:val="006C161D"/>
    <w:rsid w:val="00724C5C"/>
    <w:rsid w:val="0074608F"/>
    <w:rsid w:val="0079747E"/>
    <w:rsid w:val="007A4D82"/>
    <w:rsid w:val="007C04FE"/>
    <w:rsid w:val="007F37AB"/>
    <w:rsid w:val="00813CC9"/>
    <w:rsid w:val="008757B3"/>
    <w:rsid w:val="008A4D69"/>
    <w:rsid w:val="00910C8E"/>
    <w:rsid w:val="00917D48"/>
    <w:rsid w:val="00983022"/>
    <w:rsid w:val="009C2CDE"/>
    <w:rsid w:val="00A22772"/>
    <w:rsid w:val="00A5110E"/>
    <w:rsid w:val="00AB7513"/>
    <w:rsid w:val="00B65155"/>
    <w:rsid w:val="00B92AE2"/>
    <w:rsid w:val="00BE753B"/>
    <w:rsid w:val="00C11B76"/>
    <w:rsid w:val="00C2334A"/>
    <w:rsid w:val="00C24144"/>
    <w:rsid w:val="00C5495F"/>
    <w:rsid w:val="00C64BA2"/>
    <w:rsid w:val="00C97E65"/>
    <w:rsid w:val="00D33E22"/>
    <w:rsid w:val="00D5679D"/>
    <w:rsid w:val="00DB774C"/>
    <w:rsid w:val="00DC1749"/>
    <w:rsid w:val="00DC5B1F"/>
    <w:rsid w:val="00E01202"/>
    <w:rsid w:val="00E36CDD"/>
    <w:rsid w:val="00E669E0"/>
    <w:rsid w:val="00E96F7B"/>
    <w:rsid w:val="00EC4D24"/>
    <w:rsid w:val="00EE0831"/>
    <w:rsid w:val="00F343DF"/>
    <w:rsid w:val="00F9726C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7AF89-3564-48AA-B847-AD75661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character" w:customStyle="1" w:styleId="fontstyle01">
    <w:name w:val="fontstyle01"/>
    <w:basedOn w:val="DefaultParagraphFont"/>
    <w:qFormat/>
    <w:rsid w:val="00C97E65"/>
    <w:rPr>
      <w:rFonts w:ascii="MinionPro-Regular" w:hAnsi="MinionPro-Regular" w:hint="default"/>
      <w:color w:val="231F20"/>
      <w:sz w:val="20"/>
      <w:szCs w:val="20"/>
    </w:rPr>
  </w:style>
  <w:style w:type="character" w:customStyle="1" w:styleId="tgt1">
    <w:name w:val="tgt1"/>
    <w:basedOn w:val="DefaultParagraphFont"/>
    <w:rsid w:val="008757B3"/>
  </w:style>
  <w:style w:type="character" w:customStyle="1" w:styleId="tgt">
    <w:name w:val="tgt"/>
    <w:basedOn w:val="DefaultParagraphFont"/>
    <w:rsid w:val="00C24144"/>
  </w:style>
  <w:style w:type="character" w:styleId="Hyperlink">
    <w:name w:val="Hyperlink"/>
    <w:basedOn w:val="DefaultParagraphFont"/>
    <w:uiPriority w:val="99"/>
    <w:unhideWhenUsed/>
    <w:rsid w:val="0010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Selvaganapathi A.</cp:lastModifiedBy>
  <cp:revision>5</cp:revision>
  <cp:lastPrinted>2019-03-04T09:11:00Z</cp:lastPrinted>
  <dcterms:created xsi:type="dcterms:W3CDTF">2022-01-24T03:44:00Z</dcterms:created>
  <dcterms:modified xsi:type="dcterms:W3CDTF">2022-01-25T16:25:00Z</dcterms:modified>
</cp:coreProperties>
</file>