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55E" w:rsidRPr="007E755E" w:rsidRDefault="007E755E" w:rsidP="007E755E">
      <w:pPr>
        <w:jc w:val="left"/>
        <w:rPr>
          <w:rFonts w:ascii="Times New Roman" w:hAnsi="Times New Roman" w:cs="Times New Roman"/>
          <w:b/>
          <w:w w:val="105"/>
          <w:sz w:val="30"/>
          <w:szCs w:val="30"/>
        </w:rPr>
      </w:pPr>
      <w:proofErr w:type="spellStart"/>
      <w:r w:rsidRPr="007E755E">
        <w:rPr>
          <w:rFonts w:ascii="Times New Roman" w:hAnsi="Times New Roman" w:cs="Times New Roman"/>
          <w:b/>
          <w:w w:val="105"/>
          <w:sz w:val="30"/>
          <w:szCs w:val="30"/>
        </w:rPr>
        <w:t>Virologica</w:t>
      </w:r>
      <w:proofErr w:type="spellEnd"/>
      <w:r w:rsidRPr="007E755E">
        <w:rPr>
          <w:rFonts w:ascii="Times New Roman" w:hAnsi="Times New Roman" w:cs="Times New Roman"/>
          <w:b/>
          <w:w w:val="105"/>
          <w:sz w:val="30"/>
          <w:szCs w:val="30"/>
        </w:rPr>
        <w:t xml:space="preserve"> </w:t>
      </w:r>
      <w:proofErr w:type="spellStart"/>
      <w:r w:rsidRPr="007E755E">
        <w:rPr>
          <w:rFonts w:ascii="Times New Roman" w:hAnsi="Times New Roman" w:cs="Times New Roman"/>
          <w:b/>
          <w:w w:val="105"/>
          <w:sz w:val="30"/>
          <w:szCs w:val="30"/>
        </w:rPr>
        <w:t>Sinica</w:t>
      </w:r>
      <w:proofErr w:type="spellEnd"/>
    </w:p>
    <w:p w:rsidR="0074608F" w:rsidRPr="007E755E" w:rsidRDefault="0074608F" w:rsidP="003B717A">
      <w:pPr>
        <w:jc w:val="left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</w:p>
    <w:p w:rsidR="000761B5" w:rsidRPr="007E755E" w:rsidRDefault="000761B5" w:rsidP="003B717A">
      <w:pPr>
        <w:jc w:val="left"/>
        <w:rPr>
          <w:rFonts w:ascii="Times New Roman" w:hAnsi="Times New Roman" w:cs="Times New Roman"/>
          <w:b/>
          <w:bCs/>
          <w:color w:val="000000" w:themeColor="text1"/>
          <w:w w:val="105"/>
          <w:sz w:val="24"/>
          <w:szCs w:val="24"/>
        </w:rPr>
      </w:pPr>
    </w:p>
    <w:p w:rsidR="007E755E" w:rsidRPr="007E755E" w:rsidRDefault="007E755E" w:rsidP="007E755E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w w:val="105"/>
          <w:sz w:val="30"/>
          <w:szCs w:val="30"/>
        </w:rPr>
      </w:pPr>
      <w:r w:rsidRPr="007E755E">
        <w:rPr>
          <w:rFonts w:ascii="Times New Roman" w:hAnsi="Times New Roman" w:cs="Times New Roman"/>
          <w:b/>
          <w:bCs/>
          <w:w w:val="105"/>
          <w:sz w:val="30"/>
          <w:szCs w:val="30"/>
        </w:rPr>
        <w:t>Supplementary Data</w:t>
      </w:r>
    </w:p>
    <w:p w:rsidR="0074608F" w:rsidRPr="007E755E" w:rsidRDefault="0074608F" w:rsidP="003B717A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color w:val="000000" w:themeColor="text1"/>
          <w:w w:val="105"/>
          <w:sz w:val="30"/>
          <w:szCs w:val="30"/>
        </w:rPr>
      </w:pPr>
    </w:p>
    <w:p w:rsidR="009579F2" w:rsidRPr="007E755E" w:rsidRDefault="00961772" w:rsidP="009579F2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961772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Saliva-based point-of-care testing techniques for COVID-19 detection</w:t>
      </w:r>
    </w:p>
    <w:p w:rsidR="0092208C" w:rsidRPr="007E755E" w:rsidRDefault="00380160" w:rsidP="00742D73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7E755E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</w:p>
    <w:p w:rsidR="002C606F" w:rsidRPr="007E755E" w:rsidRDefault="002C606F" w:rsidP="002C606F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color w:val="000000" w:themeColor="text1"/>
          <w:w w:val="105"/>
          <w:szCs w:val="21"/>
        </w:rPr>
      </w:pPr>
    </w:p>
    <w:p w:rsidR="009579F2" w:rsidRPr="00961772" w:rsidRDefault="00961772" w:rsidP="009579F2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color w:val="000000" w:themeColor="text1"/>
          <w:w w:val="105"/>
          <w:szCs w:val="21"/>
        </w:rPr>
      </w:pPr>
      <w:proofErr w:type="spellStart"/>
      <w:r w:rsidRPr="00961772">
        <w:rPr>
          <w:rFonts w:ascii="Times New Roman" w:hAnsi="Times New Roman" w:cs="Times New Roman"/>
          <w:b/>
          <w:bCs/>
          <w:color w:val="000000" w:themeColor="text1"/>
          <w:szCs w:val="21"/>
        </w:rPr>
        <w:t>Shiwen</w:t>
      </w:r>
      <w:proofErr w:type="spellEnd"/>
      <w:r w:rsidRPr="00961772">
        <w:rPr>
          <w:rFonts w:ascii="Times New Roman" w:hAnsi="Times New Roman" w:cs="Times New Roman"/>
          <w:b/>
          <w:bCs/>
          <w:color w:val="000000" w:themeColor="text1"/>
          <w:szCs w:val="21"/>
        </w:rPr>
        <w:t xml:space="preserve"> </w:t>
      </w:r>
      <w:proofErr w:type="spellStart"/>
      <w:r w:rsidRPr="00961772">
        <w:rPr>
          <w:rFonts w:ascii="Times New Roman" w:hAnsi="Times New Roman" w:cs="Times New Roman"/>
          <w:b/>
          <w:bCs/>
          <w:color w:val="000000" w:themeColor="text1"/>
          <w:szCs w:val="21"/>
        </w:rPr>
        <w:t>Wang</w:t>
      </w:r>
      <w:r w:rsidRPr="00961772">
        <w:rPr>
          <w:rFonts w:ascii="Times New Roman" w:hAnsi="Times New Roman" w:cs="Times New Roman"/>
          <w:b/>
          <w:bCs/>
          <w:color w:val="000000" w:themeColor="text1"/>
          <w:szCs w:val="21"/>
          <w:vertAlign w:val="superscript"/>
        </w:rPr>
        <w:t>a,b</w:t>
      </w:r>
      <w:proofErr w:type="spellEnd"/>
      <w:r w:rsidRPr="00961772">
        <w:rPr>
          <w:rFonts w:ascii="Times New Roman" w:hAnsi="Times New Roman" w:cs="Times New Roman"/>
          <w:b/>
          <w:bCs/>
          <w:color w:val="000000" w:themeColor="text1"/>
          <w:szCs w:val="21"/>
        </w:rPr>
        <w:t xml:space="preserve">, Ying </w:t>
      </w:r>
      <w:proofErr w:type="spellStart"/>
      <w:r w:rsidRPr="00961772">
        <w:rPr>
          <w:rFonts w:ascii="Times New Roman" w:hAnsi="Times New Roman" w:cs="Times New Roman"/>
          <w:b/>
          <w:bCs/>
          <w:color w:val="000000" w:themeColor="text1"/>
          <w:szCs w:val="21"/>
        </w:rPr>
        <w:t>Liu</w:t>
      </w:r>
      <w:r w:rsidRPr="00961772">
        <w:rPr>
          <w:rFonts w:ascii="Times New Roman" w:hAnsi="Times New Roman" w:cs="Times New Roman"/>
          <w:b/>
          <w:bCs/>
          <w:color w:val="000000" w:themeColor="text1"/>
          <w:szCs w:val="21"/>
          <w:vertAlign w:val="superscript"/>
        </w:rPr>
        <w:t>d</w:t>
      </w:r>
      <w:proofErr w:type="spellEnd"/>
      <w:r w:rsidRPr="00961772">
        <w:rPr>
          <w:rFonts w:ascii="Times New Roman" w:hAnsi="Times New Roman" w:cs="Times New Roman"/>
          <w:b/>
          <w:bCs/>
          <w:color w:val="000000" w:themeColor="text1"/>
          <w:szCs w:val="21"/>
        </w:rPr>
        <w:t xml:space="preserve">, Yang </w:t>
      </w:r>
      <w:proofErr w:type="spellStart"/>
      <w:r w:rsidRPr="00961772">
        <w:rPr>
          <w:rFonts w:ascii="Times New Roman" w:hAnsi="Times New Roman" w:cs="Times New Roman"/>
          <w:b/>
          <w:bCs/>
          <w:color w:val="000000" w:themeColor="text1"/>
          <w:szCs w:val="21"/>
        </w:rPr>
        <w:t>Qiu</w:t>
      </w:r>
      <w:r w:rsidRPr="00961772">
        <w:rPr>
          <w:rFonts w:ascii="Times New Roman" w:hAnsi="Times New Roman" w:cs="Times New Roman"/>
          <w:b/>
          <w:bCs/>
          <w:color w:val="000000" w:themeColor="text1"/>
          <w:szCs w:val="21"/>
          <w:vertAlign w:val="superscript"/>
        </w:rPr>
        <w:t>c</w:t>
      </w:r>
      <w:proofErr w:type="spellEnd"/>
      <w:r w:rsidRPr="00961772">
        <w:rPr>
          <w:rFonts w:ascii="Times New Roman" w:hAnsi="Times New Roman" w:cs="Times New Roman"/>
          <w:b/>
          <w:bCs/>
          <w:color w:val="000000" w:themeColor="text1"/>
          <w:szCs w:val="21"/>
        </w:rPr>
        <w:t xml:space="preserve">, Qian Dou </w:t>
      </w:r>
      <w:proofErr w:type="spellStart"/>
      <w:r w:rsidRPr="00961772">
        <w:rPr>
          <w:rFonts w:ascii="Times New Roman" w:hAnsi="Times New Roman" w:cs="Times New Roman"/>
          <w:b/>
          <w:bCs/>
          <w:color w:val="000000" w:themeColor="text1"/>
          <w:szCs w:val="21"/>
          <w:vertAlign w:val="superscript"/>
        </w:rPr>
        <w:t>a,e</w:t>
      </w:r>
      <w:proofErr w:type="spellEnd"/>
      <w:r w:rsidRPr="00961772">
        <w:rPr>
          <w:rFonts w:ascii="Times New Roman" w:hAnsi="Times New Roman" w:cs="Times New Roman"/>
          <w:b/>
          <w:bCs/>
          <w:color w:val="000000" w:themeColor="text1"/>
          <w:szCs w:val="21"/>
        </w:rPr>
        <w:t xml:space="preserve">, Yang Han </w:t>
      </w:r>
      <w:proofErr w:type="spellStart"/>
      <w:r w:rsidRPr="00961772">
        <w:rPr>
          <w:rFonts w:ascii="Times New Roman" w:hAnsi="Times New Roman" w:cs="Times New Roman"/>
          <w:b/>
          <w:bCs/>
          <w:color w:val="000000" w:themeColor="text1"/>
          <w:szCs w:val="21"/>
          <w:vertAlign w:val="superscript"/>
        </w:rPr>
        <w:t>c,d</w:t>
      </w:r>
      <w:proofErr w:type="spellEnd"/>
      <w:r w:rsidRPr="00961772">
        <w:rPr>
          <w:rFonts w:ascii="Times New Roman" w:hAnsi="Times New Roman" w:cs="Times New Roman"/>
          <w:b/>
          <w:bCs/>
          <w:color w:val="000000" w:themeColor="text1"/>
          <w:szCs w:val="21"/>
        </w:rPr>
        <w:t xml:space="preserve">, </w:t>
      </w:r>
      <w:proofErr w:type="spellStart"/>
      <w:r w:rsidRPr="00961772">
        <w:rPr>
          <w:rFonts w:ascii="Times New Roman" w:hAnsi="Times New Roman" w:cs="Times New Roman"/>
          <w:b/>
          <w:bCs/>
          <w:color w:val="000000" w:themeColor="text1"/>
          <w:szCs w:val="21"/>
        </w:rPr>
        <w:t>Muhan</w:t>
      </w:r>
      <w:proofErr w:type="spellEnd"/>
      <w:r w:rsidRPr="00961772">
        <w:rPr>
          <w:rFonts w:ascii="Times New Roman" w:hAnsi="Times New Roman" w:cs="Times New Roman"/>
          <w:b/>
          <w:bCs/>
          <w:color w:val="000000" w:themeColor="text1"/>
          <w:szCs w:val="21"/>
        </w:rPr>
        <w:t xml:space="preserve"> Huang </w:t>
      </w:r>
      <w:r w:rsidRPr="00961772">
        <w:rPr>
          <w:rFonts w:ascii="Times New Roman" w:hAnsi="Times New Roman" w:cs="Times New Roman"/>
          <w:b/>
          <w:bCs/>
          <w:color w:val="000000" w:themeColor="text1"/>
          <w:szCs w:val="21"/>
          <w:vertAlign w:val="superscript"/>
        </w:rPr>
        <w:t>c</w:t>
      </w:r>
      <w:r w:rsidRPr="00961772">
        <w:rPr>
          <w:rFonts w:ascii="Times New Roman" w:hAnsi="Times New Roman" w:cs="Times New Roman"/>
          <w:b/>
          <w:bCs/>
          <w:color w:val="000000" w:themeColor="text1"/>
          <w:szCs w:val="21"/>
        </w:rPr>
        <w:t xml:space="preserve">, </w:t>
      </w:r>
      <w:proofErr w:type="spellStart"/>
      <w:r w:rsidRPr="00961772">
        <w:rPr>
          <w:rFonts w:ascii="Times New Roman" w:hAnsi="Times New Roman" w:cs="Times New Roman"/>
          <w:b/>
          <w:bCs/>
          <w:color w:val="000000" w:themeColor="text1"/>
          <w:szCs w:val="21"/>
        </w:rPr>
        <w:t>Ke</w:t>
      </w:r>
      <w:proofErr w:type="spellEnd"/>
      <w:r w:rsidRPr="00961772">
        <w:rPr>
          <w:rFonts w:ascii="Times New Roman" w:hAnsi="Times New Roman" w:cs="Times New Roman"/>
          <w:b/>
          <w:bCs/>
          <w:color w:val="000000" w:themeColor="text1"/>
          <w:szCs w:val="21"/>
        </w:rPr>
        <w:t xml:space="preserve"> Hong </w:t>
      </w:r>
      <w:r w:rsidRPr="00961772">
        <w:rPr>
          <w:rFonts w:ascii="Times New Roman" w:hAnsi="Times New Roman" w:cs="Times New Roman"/>
          <w:b/>
          <w:bCs/>
          <w:color w:val="000000" w:themeColor="text1"/>
          <w:szCs w:val="21"/>
          <w:vertAlign w:val="superscript"/>
        </w:rPr>
        <w:t>d</w:t>
      </w:r>
      <w:r w:rsidRPr="00961772">
        <w:rPr>
          <w:rFonts w:ascii="Times New Roman" w:hAnsi="Times New Roman" w:cs="Times New Roman"/>
          <w:b/>
          <w:bCs/>
          <w:color w:val="000000" w:themeColor="text1"/>
          <w:szCs w:val="21"/>
        </w:rPr>
        <w:t xml:space="preserve">, </w:t>
      </w:r>
      <w:proofErr w:type="spellStart"/>
      <w:r w:rsidRPr="00961772">
        <w:rPr>
          <w:rFonts w:ascii="Times New Roman" w:hAnsi="Times New Roman" w:cs="Times New Roman"/>
          <w:b/>
          <w:bCs/>
          <w:color w:val="000000" w:themeColor="text1"/>
          <w:szCs w:val="21"/>
        </w:rPr>
        <w:t>Bei</w:t>
      </w:r>
      <w:proofErr w:type="spellEnd"/>
      <w:r w:rsidRPr="00961772">
        <w:rPr>
          <w:rFonts w:ascii="Times New Roman" w:hAnsi="Times New Roman" w:cs="Times New Roman"/>
          <w:b/>
          <w:bCs/>
          <w:color w:val="000000" w:themeColor="text1"/>
          <w:szCs w:val="21"/>
        </w:rPr>
        <w:t xml:space="preserve"> Yang </w:t>
      </w:r>
      <w:proofErr w:type="spellStart"/>
      <w:r w:rsidRPr="00961772">
        <w:rPr>
          <w:rFonts w:ascii="Times New Roman" w:hAnsi="Times New Roman" w:cs="Times New Roman"/>
          <w:b/>
          <w:bCs/>
          <w:color w:val="000000" w:themeColor="text1"/>
          <w:szCs w:val="21"/>
          <w:vertAlign w:val="superscript"/>
        </w:rPr>
        <w:t>a,e</w:t>
      </w:r>
      <w:proofErr w:type="spellEnd"/>
      <w:r w:rsidRPr="00961772">
        <w:rPr>
          <w:rFonts w:ascii="Times New Roman" w:hAnsi="Times New Roman" w:cs="Times New Roman"/>
          <w:b/>
          <w:bCs/>
          <w:color w:val="000000" w:themeColor="text1"/>
          <w:szCs w:val="21"/>
          <w:vertAlign w:val="superscript"/>
        </w:rPr>
        <w:t>,*</w:t>
      </w:r>
      <w:r w:rsidRPr="00961772">
        <w:rPr>
          <w:rFonts w:ascii="Times New Roman" w:hAnsi="Times New Roman" w:cs="Times New Roman"/>
          <w:b/>
          <w:bCs/>
          <w:color w:val="000000" w:themeColor="text1"/>
          <w:szCs w:val="21"/>
        </w:rPr>
        <w:t xml:space="preserve">, Xi Zhou </w:t>
      </w:r>
      <w:proofErr w:type="spellStart"/>
      <w:r w:rsidRPr="00961772">
        <w:rPr>
          <w:rFonts w:ascii="Times New Roman" w:hAnsi="Times New Roman" w:cs="Times New Roman"/>
          <w:b/>
          <w:bCs/>
          <w:color w:val="000000" w:themeColor="text1"/>
          <w:szCs w:val="21"/>
          <w:vertAlign w:val="superscript"/>
        </w:rPr>
        <w:t>c,d</w:t>
      </w:r>
      <w:proofErr w:type="spellEnd"/>
      <w:r w:rsidRPr="00961772">
        <w:rPr>
          <w:rFonts w:ascii="Times New Roman" w:hAnsi="Times New Roman" w:cs="Times New Roman"/>
          <w:b/>
          <w:bCs/>
          <w:color w:val="000000" w:themeColor="text1"/>
          <w:szCs w:val="21"/>
          <w:vertAlign w:val="superscript"/>
        </w:rPr>
        <w:t>,*</w:t>
      </w:r>
      <w:r w:rsidRPr="00961772">
        <w:rPr>
          <w:rFonts w:ascii="Times New Roman" w:hAnsi="Times New Roman" w:cs="Times New Roman"/>
          <w:b/>
          <w:bCs/>
          <w:color w:val="000000" w:themeColor="text1"/>
          <w:szCs w:val="21"/>
        </w:rPr>
        <w:t xml:space="preserve">, Qing Dai </w:t>
      </w:r>
      <w:proofErr w:type="spellStart"/>
      <w:r w:rsidRPr="00961772">
        <w:rPr>
          <w:rFonts w:ascii="Times New Roman" w:hAnsi="Times New Roman" w:cs="Times New Roman"/>
          <w:b/>
          <w:bCs/>
          <w:color w:val="000000" w:themeColor="text1"/>
          <w:szCs w:val="21"/>
          <w:vertAlign w:val="superscript"/>
        </w:rPr>
        <w:t>a,e</w:t>
      </w:r>
      <w:proofErr w:type="spellEnd"/>
      <w:r w:rsidRPr="00961772">
        <w:rPr>
          <w:rFonts w:ascii="Times New Roman" w:hAnsi="Times New Roman" w:cs="Times New Roman"/>
          <w:b/>
          <w:bCs/>
          <w:color w:val="000000" w:themeColor="text1"/>
          <w:szCs w:val="21"/>
          <w:vertAlign w:val="superscript"/>
        </w:rPr>
        <w:t>,*</w:t>
      </w:r>
    </w:p>
    <w:p w:rsidR="00380160" w:rsidRPr="007E755E" w:rsidRDefault="00380160" w:rsidP="00380160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color w:val="000000" w:themeColor="text1"/>
          <w:w w:val="105"/>
          <w:szCs w:val="21"/>
        </w:rPr>
      </w:pPr>
    </w:p>
    <w:p w:rsidR="00961772" w:rsidRPr="00961772" w:rsidRDefault="00961772" w:rsidP="00961772">
      <w:pPr>
        <w:adjustRightInd w:val="0"/>
        <w:snapToGrid w:val="0"/>
        <w:jc w:val="left"/>
        <w:rPr>
          <w:rFonts w:ascii="Times New Roman" w:hAnsi="Times New Roman" w:cs="Times New Roman"/>
          <w:i/>
          <w:color w:val="000000" w:themeColor="text1"/>
          <w:szCs w:val="21"/>
        </w:rPr>
      </w:pPr>
      <w:r w:rsidRPr="00961772">
        <w:rPr>
          <w:rFonts w:ascii="Times New Roman" w:hAnsi="Times New Roman" w:cs="Times New Roman"/>
          <w:i/>
          <w:color w:val="000000" w:themeColor="text1"/>
          <w:szCs w:val="21"/>
          <w:vertAlign w:val="superscript"/>
        </w:rPr>
        <w:t>a</w:t>
      </w:r>
      <w:r w:rsidRPr="00961772">
        <w:rPr>
          <w:rFonts w:ascii="Times New Roman" w:hAnsi="Times New Roman" w:cs="Times New Roman"/>
          <w:i/>
          <w:color w:val="000000" w:themeColor="text1"/>
          <w:szCs w:val="21"/>
        </w:rPr>
        <w:t xml:space="preserve"> CAS Key Laboratory of </w:t>
      </w:r>
      <w:proofErr w:type="spellStart"/>
      <w:r w:rsidRPr="00961772">
        <w:rPr>
          <w:rFonts w:ascii="Times New Roman" w:hAnsi="Times New Roman" w:cs="Times New Roman"/>
          <w:i/>
          <w:color w:val="000000" w:themeColor="text1"/>
          <w:szCs w:val="21"/>
        </w:rPr>
        <w:t>Nanophotonic</w:t>
      </w:r>
      <w:proofErr w:type="spellEnd"/>
      <w:r w:rsidRPr="00961772">
        <w:rPr>
          <w:rFonts w:ascii="Times New Roman" w:hAnsi="Times New Roman" w:cs="Times New Roman"/>
          <w:i/>
          <w:color w:val="000000" w:themeColor="text1"/>
          <w:szCs w:val="21"/>
        </w:rPr>
        <w:t xml:space="preserve"> Materials and Devices, CAS Key Laboratory of Standardization and Measurement for Nanotechnology, CAS Center for Excellence in Nanoscience, National Center for Nanoscience and Technology, Beijing, 100190, China</w:t>
      </w:r>
    </w:p>
    <w:p w:rsidR="00961772" w:rsidRPr="00961772" w:rsidRDefault="00961772" w:rsidP="00961772">
      <w:pPr>
        <w:adjustRightInd w:val="0"/>
        <w:snapToGrid w:val="0"/>
        <w:jc w:val="left"/>
        <w:rPr>
          <w:rFonts w:ascii="Times New Roman" w:hAnsi="Times New Roman" w:cs="Times New Roman"/>
          <w:i/>
          <w:color w:val="000000" w:themeColor="text1"/>
          <w:szCs w:val="21"/>
        </w:rPr>
      </w:pPr>
      <w:proofErr w:type="gramStart"/>
      <w:r w:rsidRPr="00961772">
        <w:rPr>
          <w:rFonts w:ascii="Times New Roman" w:hAnsi="Times New Roman" w:cs="Times New Roman"/>
          <w:i/>
          <w:color w:val="000000" w:themeColor="text1"/>
          <w:szCs w:val="21"/>
          <w:vertAlign w:val="superscript"/>
        </w:rPr>
        <w:t>b</w:t>
      </w:r>
      <w:proofErr w:type="gramEnd"/>
      <w:r w:rsidRPr="00961772">
        <w:rPr>
          <w:rFonts w:ascii="Times New Roman" w:hAnsi="Times New Roman" w:cs="Times New Roman"/>
          <w:i/>
          <w:color w:val="000000" w:themeColor="text1"/>
          <w:szCs w:val="21"/>
        </w:rPr>
        <w:t xml:space="preserve"> Tianjin Key Laboratory of Molecular Optoelectronic Sciences, Department of Chemistry, School of Sciences, Tianjin University, Tianjin, 300072, China</w:t>
      </w:r>
    </w:p>
    <w:p w:rsidR="00961772" w:rsidRPr="00961772" w:rsidRDefault="00961772" w:rsidP="00961772">
      <w:pPr>
        <w:adjustRightInd w:val="0"/>
        <w:snapToGrid w:val="0"/>
        <w:jc w:val="left"/>
        <w:rPr>
          <w:rFonts w:ascii="Times New Roman" w:hAnsi="Times New Roman" w:cs="Times New Roman"/>
          <w:i/>
          <w:color w:val="000000" w:themeColor="text1"/>
          <w:szCs w:val="21"/>
        </w:rPr>
      </w:pPr>
      <w:proofErr w:type="gramStart"/>
      <w:r w:rsidRPr="00961772">
        <w:rPr>
          <w:rFonts w:ascii="Times New Roman" w:hAnsi="Times New Roman" w:cs="Times New Roman"/>
          <w:i/>
          <w:color w:val="000000" w:themeColor="text1"/>
          <w:szCs w:val="21"/>
          <w:vertAlign w:val="superscript"/>
        </w:rPr>
        <w:t>c</w:t>
      </w:r>
      <w:proofErr w:type="gramEnd"/>
      <w:r w:rsidRPr="00961772">
        <w:rPr>
          <w:rFonts w:ascii="Times New Roman" w:hAnsi="Times New Roman" w:cs="Times New Roman"/>
          <w:i/>
          <w:color w:val="000000" w:themeColor="text1"/>
          <w:szCs w:val="21"/>
        </w:rPr>
        <w:t xml:space="preserve"> State Key Laboratory of Virology, Wuhan Institute of Virology, Center for Biosafety Mega-Science, Chinese Academy of Sciences, Wuhan, 430071, China</w:t>
      </w:r>
    </w:p>
    <w:p w:rsidR="00961772" w:rsidRPr="00961772" w:rsidRDefault="00961772" w:rsidP="00961772">
      <w:pPr>
        <w:adjustRightInd w:val="0"/>
        <w:snapToGrid w:val="0"/>
        <w:jc w:val="left"/>
        <w:rPr>
          <w:rFonts w:ascii="Times New Roman" w:hAnsi="Times New Roman" w:cs="Times New Roman"/>
          <w:i/>
          <w:color w:val="000000" w:themeColor="text1"/>
          <w:szCs w:val="21"/>
        </w:rPr>
      </w:pPr>
      <w:r w:rsidRPr="00961772">
        <w:rPr>
          <w:rFonts w:ascii="Times New Roman" w:hAnsi="Times New Roman" w:cs="Times New Roman"/>
          <w:i/>
          <w:color w:val="000000" w:themeColor="text1"/>
          <w:szCs w:val="21"/>
          <w:vertAlign w:val="superscript"/>
        </w:rPr>
        <w:t>d</w:t>
      </w:r>
      <w:r w:rsidRPr="00961772">
        <w:rPr>
          <w:rFonts w:ascii="Times New Roman" w:hAnsi="Times New Roman" w:cs="Times New Roman"/>
          <w:i/>
          <w:color w:val="000000" w:themeColor="text1"/>
          <w:szCs w:val="21"/>
        </w:rPr>
        <w:t xml:space="preserve"> Joint Laboratory of Infectious Diseases and Health, Wuhan Institute of Virology &amp; Wuhan </w:t>
      </w:r>
      <w:proofErr w:type="spellStart"/>
      <w:r w:rsidRPr="00961772">
        <w:rPr>
          <w:rFonts w:ascii="Times New Roman" w:hAnsi="Times New Roman" w:cs="Times New Roman"/>
          <w:i/>
          <w:color w:val="000000" w:themeColor="text1"/>
          <w:szCs w:val="21"/>
        </w:rPr>
        <w:t>Jinyintan</w:t>
      </w:r>
      <w:proofErr w:type="spellEnd"/>
      <w:r w:rsidRPr="00961772">
        <w:rPr>
          <w:rFonts w:ascii="Times New Roman" w:hAnsi="Times New Roman" w:cs="Times New Roman"/>
          <w:i/>
          <w:color w:val="000000" w:themeColor="text1"/>
          <w:szCs w:val="21"/>
        </w:rPr>
        <w:t xml:space="preserve"> Hospital, Wuhan </w:t>
      </w:r>
      <w:proofErr w:type="spellStart"/>
      <w:r w:rsidRPr="00961772">
        <w:rPr>
          <w:rFonts w:ascii="Times New Roman" w:hAnsi="Times New Roman" w:cs="Times New Roman"/>
          <w:i/>
          <w:color w:val="000000" w:themeColor="text1"/>
          <w:szCs w:val="21"/>
        </w:rPr>
        <w:t>Jinyintan</w:t>
      </w:r>
      <w:proofErr w:type="spellEnd"/>
      <w:r w:rsidRPr="00961772">
        <w:rPr>
          <w:rFonts w:ascii="Times New Roman" w:hAnsi="Times New Roman" w:cs="Times New Roman"/>
          <w:i/>
          <w:color w:val="000000" w:themeColor="text1"/>
          <w:szCs w:val="21"/>
        </w:rPr>
        <w:t xml:space="preserve"> Hospital, Wuhan, 430048, China</w:t>
      </w:r>
    </w:p>
    <w:p w:rsidR="00413E21" w:rsidRPr="007E755E" w:rsidRDefault="00961772" w:rsidP="00961772">
      <w:pPr>
        <w:adjustRightInd w:val="0"/>
        <w:snapToGrid w:val="0"/>
        <w:jc w:val="left"/>
        <w:rPr>
          <w:rFonts w:ascii="Times New Roman" w:hAnsi="Times New Roman" w:cs="Times New Roman"/>
          <w:i/>
          <w:color w:val="000000" w:themeColor="text1"/>
          <w:szCs w:val="21"/>
        </w:rPr>
      </w:pPr>
      <w:r w:rsidRPr="00961772">
        <w:rPr>
          <w:rFonts w:ascii="Times New Roman" w:hAnsi="Times New Roman" w:cs="Times New Roman"/>
          <w:i/>
          <w:color w:val="000000" w:themeColor="text1"/>
          <w:szCs w:val="21"/>
          <w:vertAlign w:val="superscript"/>
        </w:rPr>
        <w:t>e</w:t>
      </w:r>
      <w:r w:rsidRPr="00961772">
        <w:rPr>
          <w:rFonts w:ascii="Times New Roman" w:hAnsi="Times New Roman" w:cs="Times New Roman"/>
          <w:i/>
          <w:color w:val="000000" w:themeColor="text1"/>
          <w:szCs w:val="21"/>
        </w:rPr>
        <w:t xml:space="preserve"> Center of Materials Science and Optoelectronics Engineering, University of Chinese Academy of Sciences, Beijing, 100049, China</w:t>
      </w:r>
    </w:p>
    <w:p w:rsidR="000741BA" w:rsidRPr="007E755E" w:rsidRDefault="000741BA" w:rsidP="000741BA">
      <w:pPr>
        <w:adjustRightInd w:val="0"/>
        <w:snapToGrid w:val="0"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:rsidR="007E755E" w:rsidRPr="008575EF" w:rsidRDefault="007E755E" w:rsidP="007E755E">
      <w:pPr>
        <w:adjustRightInd w:val="0"/>
        <w:snapToGrid w:val="0"/>
        <w:jc w:val="left"/>
        <w:rPr>
          <w:rFonts w:ascii="Times New Roman" w:hAnsi="Times New Roman" w:cs="Times New Roman"/>
          <w:szCs w:val="21"/>
        </w:rPr>
      </w:pPr>
      <w:r w:rsidRPr="008575EF">
        <w:rPr>
          <w:rFonts w:ascii="Times New Roman" w:hAnsi="Times New Roman" w:cs="Times New Roman"/>
          <w:szCs w:val="21"/>
          <w:vertAlign w:val="superscript"/>
        </w:rPr>
        <w:t>*</w:t>
      </w:r>
      <w:r w:rsidRPr="008575EF">
        <w:rPr>
          <w:rFonts w:ascii="Times New Roman" w:hAnsi="Times New Roman" w:cs="Times New Roman"/>
          <w:szCs w:val="21"/>
        </w:rPr>
        <w:t xml:space="preserve"> Corresponding author</w:t>
      </w:r>
      <w:r>
        <w:rPr>
          <w:rFonts w:ascii="Times New Roman" w:hAnsi="Times New Roman" w:cs="Times New Roman"/>
          <w:szCs w:val="21"/>
        </w:rPr>
        <w:t>s</w:t>
      </w:r>
      <w:r w:rsidRPr="008575EF">
        <w:rPr>
          <w:rFonts w:ascii="Times New Roman" w:hAnsi="Times New Roman" w:cs="Times New Roman"/>
          <w:szCs w:val="21"/>
        </w:rPr>
        <w:t xml:space="preserve">. </w:t>
      </w:r>
    </w:p>
    <w:p w:rsidR="00713212" w:rsidRDefault="007E755E" w:rsidP="00961772">
      <w:pPr>
        <w:adjustRightInd w:val="0"/>
        <w:snapToGrid w:val="0"/>
        <w:jc w:val="left"/>
        <w:rPr>
          <w:rFonts w:ascii="Times New Roman" w:eastAsia="Arial Unicode MS" w:hAnsi="Times New Roman" w:cs="Times New Roman" w:hint="eastAsia"/>
          <w:szCs w:val="21"/>
        </w:rPr>
      </w:pPr>
      <w:r w:rsidRPr="008575EF">
        <w:rPr>
          <w:rFonts w:ascii="Times New Roman" w:hAnsi="Times New Roman" w:cs="Times New Roman"/>
          <w:i/>
          <w:szCs w:val="21"/>
        </w:rPr>
        <w:t>E-mail addresses</w:t>
      </w:r>
      <w:r w:rsidRPr="008575EF">
        <w:rPr>
          <w:rFonts w:ascii="Times New Roman" w:hAnsi="Times New Roman" w:cs="Times New Roman"/>
          <w:szCs w:val="21"/>
        </w:rPr>
        <w:t>:</w:t>
      </w:r>
      <w:r w:rsidR="00961772" w:rsidRPr="00961772">
        <w:t xml:space="preserve"> </w:t>
      </w:r>
      <w:r w:rsidR="00961772" w:rsidRPr="00961772">
        <w:rPr>
          <w:rFonts w:ascii="Times New Roman" w:eastAsia="Arial Unicode MS" w:hAnsi="Times New Roman" w:cs="Times New Roman"/>
          <w:szCs w:val="21"/>
        </w:rPr>
        <w:t>daiq@nanoctr.cn (Q. Dai), zhouxi@wh.iov.cn (X. Zhou), yangb2020@nanoctr.cn (B. Yang)</w:t>
      </w:r>
    </w:p>
    <w:p w:rsidR="00961772" w:rsidRPr="00961772" w:rsidRDefault="00961772" w:rsidP="00961772">
      <w:pPr>
        <w:adjustRightInd w:val="0"/>
        <w:snapToGrid w:val="0"/>
        <w:jc w:val="left"/>
        <w:rPr>
          <w:rFonts w:ascii="Times New Roman" w:eastAsia="Arial Unicode MS" w:hAnsi="Times New Roman" w:cs="Times New Roman"/>
          <w:szCs w:val="21"/>
        </w:rPr>
        <w:sectPr w:rsidR="00961772" w:rsidRPr="00961772" w:rsidSect="00901183">
          <w:headerReference w:type="default" r:id="rId8"/>
          <w:footerReference w:type="default" r:id="rId9"/>
          <w:pgSz w:w="11907" w:h="15593" w:code="1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961772" w:rsidRPr="00961772" w:rsidRDefault="00961772" w:rsidP="00961772">
      <w:pPr>
        <w:spacing w:before="156" w:after="156" w:line="360" w:lineRule="auto"/>
        <w:rPr>
          <w:rFonts w:ascii="Times New Roman" w:hAnsi="Times New Roman" w:cs="Times New Roman"/>
          <w:b/>
          <w:bCs/>
          <w:color w:val="000000" w:themeColor="text1"/>
          <w:kern w:val="0"/>
          <w:szCs w:val="21"/>
        </w:rPr>
      </w:pPr>
      <w:r w:rsidRPr="00961772">
        <w:rPr>
          <w:rFonts w:ascii="Times New Roman" w:hAnsi="Times New Roman" w:cs="Times New Roman"/>
          <w:b/>
          <w:bCs/>
          <w:color w:val="000000" w:themeColor="text1"/>
          <w:kern w:val="0"/>
          <w:szCs w:val="21"/>
        </w:rPr>
        <w:lastRenderedPageBreak/>
        <w:t>Patient recruitment</w:t>
      </w:r>
    </w:p>
    <w:p w:rsidR="00961772" w:rsidRPr="00961772" w:rsidRDefault="00961772" w:rsidP="00961772">
      <w:pPr>
        <w:spacing w:before="156" w:after="156" w:line="360" w:lineRule="auto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961772">
        <w:rPr>
          <w:rFonts w:ascii="Times New Roman" w:hAnsi="Times New Roman" w:cs="Times New Roman"/>
          <w:color w:val="000000" w:themeColor="text1"/>
          <w:kern w:val="0"/>
          <w:szCs w:val="21"/>
        </w:rPr>
        <w:t xml:space="preserve">A cohort of 100 COVID-19 patients (62 males, 38 females) was enrolled at the Wuhan </w:t>
      </w:r>
      <w:proofErr w:type="spellStart"/>
      <w:r w:rsidRPr="00961772">
        <w:rPr>
          <w:rFonts w:ascii="Times New Roman" w:hAnsi="Times New Roman" w:cs="Times New Roman"/>
          <w:color w:val="000000" w:themeColor="text1"/>
          <w:kern w:val="0"/>
          <w:szCs w:val="21"/>
        </w:rPr>
        <w:t>Jinyintan</w:t>
      </w:r>
      <w:proofErr w:type="spellEnd"/>
      <w:r w:rsidRPr="00961772">
        <w:rPr>
          <w:rFonts w:ascii="Times New Roman" w:hAnsi="Times New Roman" w:cs="Times New Roman"/>
          <w:color w:val="000000" w:themeColor="text1"/>
          <w:kern w:val="0"/>
          <w:szCs w:val="21"/>
        </w:rPr>
        <w:t xml:space="preserve"> hospital in Hubei province before July 2020, with an age range of 13–82 years (average, 52 ± 14 years). The patients were asked to simultaneously provide serum and saliva specimens. Subsequently, SARS-CoV-2-specific IgG antibody levels were detected and quantified in both samples by an enzyme-linked immunosorbent assay (ELISA) kit (provided by Wuhan </w:t>
      </w:r>
      <w:proofErr w:type="spellStart"/>
      <w:r w:rsidRPr="00961772">
        <w:rPr>
          <w:rFonts w:ascii="Times New Roman" w:hAnsi="Times New Roman" w:cs="Times New Roman"/>
          <w:color w:val="000000" w:themeColor="text1"/>
          <w:kern w:val="0"/>
          <w:szCs w:val="21"/>
        </w:rPr>
        <w:t>KeyuanAnbo</w:t>
      </w:r>
      <w:proofErr w:type="spellEnd"/>
      <w:r w:rsidRPr="00961772">
        <w:rPr>
          <w:rFonts w:ascii="Times New Roman" w:hAnsi="Times New Roman" w:cs="Times New Roman"/>
          <w:color w:val="000000" w:themeColor="text1"/>
          <w:kern w:val="0"/>
          <w:szCs w:val="21"/>
        </w:rPr>
        <w:t xml:space="preserve"> Biotechnology Co. Ltd., Wuhan, China). </w:t>
      </w:r>
    </w:p>
    <w:p w:rsidR="00961772" w:rsidRPr="00961772" w:rsidRDefault="00961772" w:rsidP="00961772">
      <w:pPr>
        <w:spacing w:before="156" w:after="156" w:line="360" w:lineRule="auto"/>
        <w:rPr>
          <w:rFonts w:ascii="Times New Roman" w:hAnsi="Times New Roman" w:cs="Times New Roman"/>
          <w:b/>
          <w:bCs/>
          <w:color w:val="000000" w:themeColor="text1"/>
          <w:kern w:val="0"/>
          <w:szCs w:val="21"/>
        </w:rPr>
      </w:pPr>
      <w:r w:rsidRPr="00961772">
        <w:rPr>
          <w:rFonts w:ascii="Times New Roman" w:hAnsi="Times New Roman" w:cs="Times New Roman"/>
          <w:b/>
          <w:bCs/>
          <w:color w:val="000000" w:themeColor="text1"/>
          <w:kern w:val="0"/>
          <w:szCs w:val="21"/>
        </w:rPr>
        <w:t>Sample collection</w:t>
      </w:r>
    </w:p>
    <w:p w:rsidR="00961772" w:rsidRPr="00961772" w:rsidRDefault="00961772" w:rsidP="00961772">
      <w:pPr>
        <w:spacing w:before="156" w:after="156" w:line="360" w:lineRule="auto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961772">
        <w:rPr>
          <w:rFonts w:ascii="Times New Roman" w:hAnsi="Times New Roman" w:cs="Times New Roman"/>
          <w:color w:val="000000" w:themeColor="text1"/>
          <w:kern w:val="0"/>
          <w:szCs w:val="21"/>
        </w:rPr>
        <w:t>Saliva samples were collected by chewing on a cotton swab with a saliva collection device (</w:t>
      </w:r>
      <w:proofErr w:type="spellStart"/>
      <w:r w:rsidRPr="00961772">
        <w:rPr>
          <w:rFonts w:ascii="Times New Roman" w:hAnsi="Times New Roman" w:cs="Times New Roman"/>
          <w:color w:val="000000" w:themeColor="text1"/>
          <w:kern w:val="0"/>
          <w:szCs w:val="21"/>
        </w:rPr>
        <w:t>Salivette</w:t>
      </w:r>
      <w:proofErr w:type="spellEnd"/>
      <w:r w:rsidRPr="00961772">
        <w:rPr>
          <w:rFonts w:ascii="Times New Roman" w:hAnsi="Times New Roman" w:cs="Times New Roman"/>
          <w:color w:val="000000" w:themeColor="text1"/>
          <w:kern w:val="0"/>
          <w:szCs w:val="21"/>
        </w:rPr>
        <w:t>, Germany) for 3–5 min, or until saturation. The saturated cotton swab was then inserted into the storage tube, capped, and stored at −20 °C until processing. Blood samples were collected into serum separator tubes (SST). Both serum and saliva were heated at 50 °C and inactivated for 30 min and then stored at 4 °C until analysis. Saliva was separated from the cotton swab through centrifugation (10 min, 3010 ×</w:t>
      </w:r>
      <w:r w:rsidRPr="00961772">
        <w:rPr>
          <w:rFonts w:ascii="Times New Roman" w:hAnsi="Times New Roman" w:cs="Times New Roman"/>
          <w:i/>
          <w:color w:val="000000" w:themeColor="text1"/>
          <w:kern w:val="0"/>
          <w:szCs w:val="21"/>
        </w:rPr>
        <w:t>g</w:t>
      </w:r>
      <w:r w:rsidRPr="00961772">
        <w:rPr>
          <w:rFonts w:ascii="Times New Roman" w:hAnsi="Times New Roman" w:cs="Times New Roman"/>
          <w:color w:val="000000" w:themeColor="text1"/>
          <w:kern w:val="0"/>
          <w:szCs w:val="21"/>
        </w:rPr>
        <w:t xml:space="preserve">) and transferred to the attached 2-mL </w:t>
      </w:r>
      <w:proofErr w:type="spellStart"/>
      <w:r w:rsidRPr="00961772">
        <w:rPr>
          <w:rFonts w:ascii="Times New Roman" w:hAnsi="Times New Roman" w:cs="Times New Roman"/>
          <w:color w:val="000000" w:themeColor="text1"/>
          <w:kern w:val="0"/>
          <w:szCs w:val="21"/>
        </w:rPr>
        <w:t>cryovial</w:t>
      </w:r>
      <w:proofErr w:type="spellEnd"/>
      <w:r w:rsidRPr="00961772">
        <w:rPr>
          <w:rFonts w:ascii="Times New Roman" w:hAnsi="Times New Roman" w:cs="Times New Roman"/>
          <w:color w:val="000000" w:themeColor="text1"/>
          <w:kern w:val="0"/>
          <w:szCs w:val="21"/>
        </w:rPr>
        <w:t>.</w:t>
      </w:r>
    </w:p>
    <w:p w:rsidR="00961772" w:rsidRPr="00961772" w:rsidRDefault="00961772" w:rsidP="00961772">
      <w:pPr>
        <w:spacing w:before="156" w:after="156" w:line="360" w:lineRule="auto"/>
        <w:rPr>
          <w:rFonts w:ascii="Times New Roman" w:hAnsi="Times New Roman" w:cs="Times New Roman"/>
          <w:b/>
          <w:bCs/>
          <w:color w:val="000000" w:themeColor="text1"/>
          <w:kern w:val="0"/>
          <w:szCs w:val="21"/>
        </w:rPr>
      </w:pPr>
      <w:r w:rsidRPr="00961772">
        <w:rPr>
          <w:rFonts w:ascii="Times New Roman" w:hAnsi="Times New Roman" w:cs="Times New Roman"/>
          <w:b/>
          <w:bCs/>
          <w:color w:val="000000" w:themeColor="text1"/>
          <w:kern w:val="0"/>
          <w:szCs w:val="21"/>
        </w:rPr>
        <w:t>Laboratory methods</w:t>
      </w:r>
    </w:p>
    <w:p w:rsidR="00961772" w:rsidRPr="00961772" w:rsidRDefault="00961772" w:rsidP="00961772">
      <w:pPr>
        <w:spacing w:before="156" w:after="156" w:line="360" w:lineRule="auto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961772">
        <w:rPr>
          <w:rFonts w:ascii="Times New Roman" w:hAnsi="Times New Roman" w:cs="Times New Roman"/>
          <w:color w:val="000000" w:themeColor="text1"/>
          <w:kern w:val="0"/>
          <w:szCs w:val="21"/>
        </w:rPr>
        <w:t>The saliva and serum samples were centrifuged for 20 min at 3010 ×</w:t>
      </w:r>
      <w:r w:rsidRPr="00961772">
        <w:rPr>
          <w:rFonts w:ascii="Times New Roman" w:hAnsi="Times New Roman" w:cs="Times New Roman"/>
          <w:i/>
          <w:color w:val="000000" w:themeColor="text1"/>
          <w:kern w:val="0"/>
          <w:szCs w:val="21"/>
        </w:rPr>
        <w:t>g</w:t>
      </w:r>
      <w:r w:rsidRPr="00961772">
        <w:rPr>
          <w:rFonts w:ascii="Times New Roman" w:hAnsi="Times New Roman" w:cs="Times New Roman"/>
          <w:color w:val="000000" w:themeColor="text1"/>
          <w:kern w:val="0"/>
          <w:szCs w:val="21"/>
        </w:rPr>
        <w:t xml:space="preserve"> and the supernatants were extracted. SARS-CoV-2 IgG antibodies were measured in both samples using an ELISA kit (Wuhan </w:t>
      </w:r>
      <w:proofErr w:type="spellStart"/>
      <w:r w:rsidRPr="00961772">
        <w:rPr>
          <w:rFonts w:ascii="Times New Roman" w:hAnsi="Times New Roman" w:cs="Times New Roman"/>
          <w:color w:val="000000" w:themeColor="text1"/>
          <w:kern w:val="0"/>
          <w:szCs w:val="21"/>
        </w:rPr>
        <w:t>KeyuanAnbo</w:t>
      </w:r>
      <w:proofErr w:type="spellEnd"/>
      <w:r w:rsidRPr="00961772">
        <w:rPr>
          <w:rFonts w:ascii="Times New Roman" w:hAnsi="Times New Roman" w:cs="Times New Roman"/>
          <w:color w:val="000000" w:themeColor="text1"/>
          <w:kern w:val="0"/>
          <w:szCs w:val="21"/>
        </w:rPr>
        <w:t xml:space="preserve"> Biotechnology Co. Ltd., Wuhan, China). To accurately measure the level of IgG antibodies, serum samples were diluted 1:400 with the provided sample buffer, while the saliva samples were used without further processing. Serum and saliva samples were added to wells, incubated at 37 °C for 1 h, </w:t>
      </w:r>
      <w:proofErr w:type="gramStart"/>
      <w:r w:rsidRPr="00961772">
        <w:rPr>
          <w:rFonts w:ascii="Times New Roman" w:hAnsi="Times New Roman" w:cs="Times New Roman"/>
          <w:color w:val="000000" w:themeColor="text1"/>
          <w:kern w:val="0"/>
          <w:szCs w:val="21"/>
        </w:rPr>
        <w:t>then</w:t>
      </w:r>
      <w:proofErr w:type="gramEnd"/>
      <w:r w:rsidRPr="00961772">
        <w:rPr>
          <w:rFonts w:ascii="Times New Roman" w:hAnsi="Times New Roman" w:cs="Times New Roman"/>
          <w:color w:val="000000" w:themeColor="text1"/>
          <w:kern w:val="0"/>
          <w:szCs w:val="21"/>
        </w:rPr>
        <w:t xml:space="preserve"> washed with buffer containing 2% serum albumin. Thereafter, mouse anti-human antibody supplemented with horseradish peroxidase was added and incubated for 30 min at 37 °C. Next, solution </w:t>
      </w:r>
      <w:proofErr w:type="gramStart"/>
      <w:r w:rsidRPr="00961772">
        <w:rPr>
          <w:rFonts w:ascii="Times New Roman" w:hAnsi="Times New Roman" w:cs="Times New Roman"/>
          <w:color w:val="000000" w:themeColor="text1"/>
          <w:kern w:val="0"/>
          <w:szCs w:val="21"/>
        </w:rPr>
        <w:t>A</w:t>
      </w:r>
      <w:proofErr w:type="gramEnd"/>
      <w:r w:rsidRPr="00961772">
        <w:rPr>
          <w:rFonts w:ascii="Times New Roman" w:hAnsi="Times New Roman" w:cs="Times New Roman"/>
          <w:color w:val="000000" w:themeColor="text1"/>
          <w:kern w:val="0"/>
          <w:szCs w:val="21"/>
        </w:rPr>
        <w:t xml:space="preserve"> (containing </w:t>
      </w:r>
      <w:proofErr w:type="spellStart"/>
      <w:r w:rsidRPr="00961772">
        <w:rPr>
          <w:rFonts w:ascii="Times New Roman" w:hAnsi="Times New Roman" w:cs="Times New Roman"/>
          <w:color w:val="000000" w:themeColor="text1"/>
          <w:kern w:val="0"/>
          <w:szCs w:val="21"/>
        </w:rPr>
        <w:t>carbamide</w:t>
      </w:r>
      <w:proofErr w:type="spellEnd"/>
      <w:r w:rsidRPr="00961772">
        <w:rPr>
          <w:rFonts w:ascii="Times New Roman" w:hAnsi="Times New Roman" w:cs="Times New Roman"/>
          <w:color w:val="000000" w:themeColor="text1"/>
          <w:kern w:val="0"/>
          <w:szCs w:val="21"/>
        </w:rPr>
        <w:t xml:space="preserve"> peroxide) and solution B (containing </w:t>
      </w:r>
      <w:proofErr w:type="spellStart"/>
      <w:r w:rsidRPr="00961772">
        <w:rPr>
          <w:rFonts w:ascii="Times New Roman" w:hAnsi="Times New Roman" w:cs="Times New Roman"/>
          <w:color w:val="000000" w:themeColor="text1"/>
          <w:kern w:val="0"/>
          <w:szCs w:val="21"/>
        </w:rPr>
        <w:t>tetramethylbenzidine</w:t>
      </w:r>
      <w:proofErr w:type="spellEnd"/>
      <w:r w:rsidRPr="00961772">
        <w:rPr>
          <w:rFonts w:ascii="Times New Roman" w:hAnsi="Times New Roman" w:cs="Times New Roman"/>
          <w:color w:val="000000" w:themeColor="text1"/>
          <w:kern w:val="0"/>
          <w:szCs w:val="21"/>
        </w:rPr>
        <w:t>, TMB) were added and mixed. The colorimetric reaction proceeded for 15 min at room temperature and 50 µL of H</w:t>
      </w:r>
      <w:r w:rsidRPr="00961772">
        <w:rPr>
          <w:rFonts w:ascii="Times New Roman" w:hAnsi="Times New Roman" w:cs="Times New Roman"/>
          <w:color w:val="000000" w:themeColor="text1"/>
          <w:kern w:val="0"/>
          <w:szCs w:val="21"/>
          <w:vertAlign w:val="subscript"/>
        </w:rPr>
        <w:t>2</w:t>
      </w:r>
      <w:r w:rsidRPr="00961772">
        <w:rPr>
          <w:rFonts w:ascii="Times New Roman" w:hAnsi="Times New Roman" w:cs="Times New Roman"/>
          <w:color w:val="000000" w:themeColor="text1"/>
          <w:kern w:val="0"/>
          <w:szCs w:val="21"/>
        </w:rPr>
        <w:t>SO</w:t>
      </w:r>
      <w:r w:rsidRPr="00961772">
        <w:rPr>
          <w:rFonts w:ascii="Times New Roman" w:hAnsi="Times New Roman" w:cs="Times New Roman"/>
          <w:color w:val="000000" w:themeColor="text1"/>
          <w:kern w:val="0"/>
          <w:szCs w:val="21"/>
          <w:vertAlign w:val="subscript"/>
        </w:rPr>
        <w:t>4</w:t>
      </w:r>
      <w:r w:rsidRPr="00961772">
        <w:rPr>
          <w:rFonts w:ascii="Times New Roman" w:hAnsi="Times New Roman" w:cs="Times New Roman"/>
          <w:color w:val="000000" w:themeColor="text1"/>
          <w:kern w:val="0"/>
          <w:szCs w:val="21"/>
        </w:rPr>
        <w:t xml:space="preserve"> was added into the wells. Finally, the optical density (OD) was recorded by an automated reader (Multimode Plate Reader, PerkinElmer).</w:t>
      </w:r>
    </w:p>
    <w:p w:rsidR="00961772" w:rsidRPr="00961772" w:rsidRDefault="00961772" w:rsidP="00961772">
      <w:pPr>
        <w:spacing w:before="156" w:after="156" w:line="360" w:lineRule="auto"/>
        <w:rPr>
          <w:rFonts w:ascii="Times New Roman" w:hAnsi="Times New Roman" w:cs="Times New Roman"/>
          <w:b/>
          <w:bCs/>
          <w:color w:val="000000" w:themeColor="text1"/>
          <w:kern w:val="0"/>
          <w:szCs w:val="21"/>
        </w:rPr>
      </w:pPr>
      <w:r w:rsidRPr="00961772">
        <w:rPr>
          <w:rFonts w:ascii="Times New Roman" w:hAnsi="Times New Roman" w:cs="Times New Roman"/>
          <w:b/>
          <w:bCs/>
          <w:color w:val="000000" w:themeColor="text1"/>
          <w:kern w:val="0"/>
          <w:szCs w:val="21"/>
        </w:rPr>
        <w:t>Relationship between optical density and IgG titers</w:t>
      </w:r>
    </w:p>
    <w:p w:rsidR="00961772" w:rsidRPr="00961772" w:rsidRDefault="00961772" w:rsidP="00961772">
      <w:pPr>
        <w:spacing w:before="156" w:after="156" w:line="360" w:lineRule="auto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961772">
        <w:rPr>
          <w:rFonts w:ascii="Times New Roman" w:hAnsi="Times New Roman" w:cs="Times New Roman"/>
          <w:color w:val="000000" w:themeColor="text1"/>
          <w:kern w:val="0"/>
          <w:szCs w:val="21"/>
        </w:rPr>
        <w:t xml:space="preserve">As shown in </w:t>
      </w:r>
      <w:r w:rsidRPr="00961772">
        <w:rPr>
          <w:rFonts w:ascii="Times New Roman" w:hAnsi="Times New Roman" w:cs="Times New Roman"/>
          <w:color w:val="0070C0"/>
          <w:kern w:val="0"/>
          <w:szCs w:val="21"/>
        </w:rPr>
        <w:t>Supplementary Fig. S1</w:t>
      </w:r>
      <w:r w:rsidRPr="00961772">
        <w:rPr>
          <w:rFonts w:ascii="Times New Roman" w:hAnsi="Times New Roman" w:cs="Times New Roman"/>
          <w:color w:val="000000" w:themeColor="text1"/>
          <w:kern w:val="0"/>
          <w:szCs w:val="21"/>
        </w:rPr>
        <w:t xml:space="preserve">, the serum samples were diluted with a known IgG titer (TCID50, 1280) </w:t>
      </w:r>
      <w:r w:rsidRPr="00961772">
        <w:rPr>
          <w:rFonts w:ascii="Times New Roman" w:hAnsi="Times New Roman" w:cs="Times New Roman"/>
          <w:color w:val="000000" w:themeColor="text1"/>
          <w:kern w:val="0"/>
          <w:szCs w:val="21"/>
        </w:rPr>
        <w:lastRenderedPageBreak/>
        <w:t>(diluted from 1:100 to 1:12,800) to determine the corresponding relationship between OD and titers. The titers were linearly proportional to the OD within the range of 0.1–1.6 (dilution ratio ranges from 1:800 to 1:12,800, Y = 0.109 + 1.751X, R</w:t>
      </w:r>
      <w:r w:rsidRPr="00961772">
        <w:rPr>
          <w:rFonts w:ascii="Times New Roman" w:hAnsi="Times New Roman" w:cs="Times New Roman"/>
          <w:color w:val="000000" w:themeColor="text1"/>
          <w:kern w:val="0"/>
          <w:szCs w:val="21"/>
          <w:vertAlign w:val="superscript"/>
        </w:rPr>
        <w:t>2</w:t>
      </w:r>
      <w:r w:rsidRPr="00961772">
        <w:rPr>
          <w:rFonts w:ascii="Times New Roman" w:hAnsi="Times New Roman" w:cs="Times New Roman"/>
          <w:color w:val="000000" w:themeColor="text1"/>
          <w:kern w:val="0"/>
          <w:szCs w:val="21"/>
        </w:rPr>
        <w:t xml:space="preserve"> = 0.9891), indicating that the OD has a good corresponding relationship with the titers.</w:t>
      </w:r>
    </w:p>
    <w:p w:rsidR="00961772" w:rsidRPr="00961772" w:rsidRDefault="00961772" w:rsidP="00961772">
      <w:pPr>
        <w:spacing w:before="156" w:after="156" w:line="360" w:lineRule="auto"/>
        <w:rPr>
          <w:rFonts w:ascii="Times New Roman" w:hAnsi="Times New Roman" w:cs="Times New Roman"/>
          <w:b/>
          <w:color w:val="000000" w:themeColor="text1"/>
          <w:kern w:val="0"/>
          <w:szCs w:val="21"/>
        </w:rPr>
      </w:pPr>
      <w:r w:rsidRPr="00961772">
        <w:rPr>
          <w:rFonts w:ascii="Times New Roman" w:hAnsi="Times New Roman" w:cs="Times New Roman"/>
          <w:b/>
          <w:color w:val="000000" w:themeColor="text1"/>
          <w:kern w:val="0"/>
          <w:szCs w:val="21"/>
        </w:rPr>
        <w:t>Data stability</w:t>
      </w:r>
    </w:p>
    <w:p w:rsidR="00961772" w:rsidRPr="00961772" w:rsidRDefault="00961772" w:rsidP="00961772">
      <w:pPr>
        <w:spacing w:before="156" w:after="156" w:line="360" w:lineRule="auto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961772">
        <w:rPr>
          <w:rFonts w:ascii="Times New Roman" w:hAnsi="Times New Roman" w:cs="Times New Roman"/>
          <w:color w:val="000000" w:themeColor="text1"/>
          <w:kern w:val="0"/>
          <w:szCs w:val="21"/>
        </w:rPr>
        <w:t xml:space="preserve">The testing stability of the ELISA kits was evaluated based on the repeated detection of IgG titers. </w:t>
      </w:r>
      <w:r w:rsidRPr="00961772">
        <w:rPr>
          <w:rFonts w:ascii="Times New Roman" w:hAnsi="Times New Roman" w:cs="Times New Roman"/>
          <w:color w:val="0070C0"/>
          <w:kern w:val="0"/>
          <w:szCs w:val="21"/>
        </w:rPr>
        <w:t>Supplementary Table S1</w:t>
      </w:r>
      <w:r w:rsidRPr="00961772">
        <w:rPr>
          <w:rFonts w:ascii="Times New Roman" w:hAnsi="Times New Roman" w:cs="Times New Roman"/>
          <w:color w:val="000000" w:themeColor="text1"/>
          <w:kern w:val="0"/>
          <w:szCs w:val="21"/>
        </w:rPr>
        <w:t xml:space="preserve"> shows that the relative standard deviations (RSD) were less than 10% for repeated IgG detections at all tested concentrations, indicating that this testing had good reproducibility.</w:t>
      </w:r>
    </w:p>
    <w:p w:rsidR="00961772" w:rsidRPr="00961772" w:rsidRDefault="00961772" w:rsidP="00961772">
      <w:pPr>
        <w:spacing w:before="156" w:after="156" w:line="360" w:lineRule="auto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961772">
        <w:rPr>
          <w:rFonts w:ascii="Times New Roman" w:hAnsi="Times New Roman" w:cs="Times New Roman"/>
          <w:b/>
          <w:color w:val="000000" w:themeColor="text1"/>
          <w:kern w:val="0"/>
          <w:szCs w:val="21"/>
        </w:rPr>
        <w:t>Equation used in the present study</w:t>
      </w:r>
    </w:p>
    <w:p w:rsidR="00961772" w:rsidRPr="00961772" w:rsidRDefault="00961772" w:rsidP="00961772">
      <w:pPr>
        <w:spacing w:before="156" w:after="156" w:line="360" w:lineRule="auto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961772">
        <w:rPr>
          <w:rFonts w:ascii="Times New Roman" w:hAnsi="Times New Roman" w:cs="Times New Roman"/>
          <w:color w:val="000000" w:themeColor="text1"/>
          <w:kern w:val="0"/>
          <w:szCs w:val="21"/>
        </w:rPr>
        <w:t>The cutoff value was determined as the mean optical density (OD) value for the negative control plus 0.093. The true-positive, false-positive, false-negative, and true-negative rates were estimated and used to calculate the diagnostic values (sensitivity, specificity, and others). To calculate the specificity and sensitivity of saliva-based antibody detection, the serum antibody level was regarded as the “gold standard.” The test results for 100 COVID-19 convalescent patients are shown in Supplementary Table S2.</w:t>
      </w:r>
    </w:p>
    <w:p w:rsidR="00961772" w:rsidRPr="00961772" w:rsidRDefault="00961772" w:rsidP="00961772">
      <w:pPr>
        <w:spacing w:before="156" w:after="156" w:line="360" w:lineRule="auto"/>
        <w:ind w:firstLine="440"/>
        <w:rPr>
          <w:rFonts w:ascii="Times New Roman" w:hAnsi="Times New Roman" w:cs="Times New Roman"/>
          <w:color w:val="000000" w:themeColor="text1"/>
          <w:kern w:val="0"/>
          <w:szCs w:val="21"/>
        </w:rPr>
      </w:pPr>
      <w:proofErr w:type="gramStart"/>
      <w:r w:rsidRPr="00961772">
        <w:rPr>
          <w:rFonts w:ascii="Times New Roman" w:hAnsi="Times New Roman" w:cs="Times New Roman"/>
          <w:color w:val="000000" w:themeColor="text1"/>
          <w:kern w:val="0"/>
          <w:szCs w:val="21"/>
        </w:rPr>
        <w:t>Equation S1.</w:t>
      </w:r>
      <w:proofErr w:type="gramEnd"/>
      <w:r w:rsidRPr="00961772">
        <w:rPr>
          <w:rFonts w:ascii="Times New Roman" w:hAnsi="Times New Roman" w:cs="Times New Roman"/>
          <w:color w:val="000000" w:themeColor="text1"/>
          <w:kern w:val="0"/>
          <w:szCs w:val="21"/>
        </w:rPr>
        <w:t xml:space="preserve"> The cutoff value was determined as the mean optical density value for the negative control plus 0.093 (given by the ELISA kit manufacturer). </w:t>
      </w:r>
    </w:p>
    <w:p w:rsidR="00961772" w:rsidRPr="00961772" w:rsidRDefault="00961772" w:rsidP="00961772">
      <w:pPr>
        <w:spacing w:before="156" w:after="156" w:line="360" w:lineRule="auto"/>
        <w:ind w:firstLine="440"/>
        <w:rPr>
          <w:rFonts w:ascii="Times New Roman" w:hAnsi="Times New Roman" w:cs="Times New Roman"/>
          <w:color w:val="000000" w:themeColor="text1"/>
          <w:kern w:val="0"/>
          <w:szCs w:val="21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kern w:val="0"/>
              <w:szCs w:val="21"/>
            </w:rPr>
            <m:t>C.0 = 0.093 +the average OD value of negative control (1)</m:t>
          </m:r>
        </m:oMath>
      </m:oMathPara>
    </w:p>
    <w:p w:rsidR="00961772" w:rsidRPr="00961772" w:rsidRDefault="00961772" w:rsidP="00961772">
      <w:pPr>
        <w:spacing w:before="156" w:after="156" w:line="360" w:lineRule="auto"/>
        <w:ind w:firstLine="440"/>
        <w:rPr>
          <w:rFonts w:ascii="Times New Roman" w:hAnsi="Times New Roman" w:cs="Times New Roman"/>
          <w:color w:val="000000" w:themeColor="text1"/>
          <w:kern w:val="0"/>
          <w:szCs w:val="21"/>
        </w:rPr>
      </w:pPr>
      <w:proofErr w:type="gramStart"/>
      <w:r w:rsidRPr="00961772">
        <w:rPr>
          <w:rFonts w:ascii="Times New Roman" w:hAnsi="Times New Roman" w:cs="Times New Roman"/>
          <w:color w:val="000000" w:themeColor="text1"/>
          <w:kern w:val="0"/>
          <w:szCs w:val="21"/>
        </w:rPr>
        <w:t>Equation S2.</w:t>
      </w:r>
      <w:proofErr w:type="gramEnd"/>
      <w:r w:rsidRPr="00961772">
        <w:rPr>
          <w:rFonts w:ascii="Times New Roman" w:hAnsi="Times New Roman" w:cs="Times New Roman"/>
          <w:color w:val="000000" w:themeColor="text1"/>
          <w:kern w:val="0"/>
          <w:szCs w:val="21"/>
        </w:rPr>
        <w:t xml:space="preserve"> </w:t>
      </w:r>
      <w:proofErr w:type="gramStart"/>
      <w:r w:rsidRPr="00961772">
        <w:rPr>
          <w:rFonts w:ascii="Times New Roman" w:hAnsi="Times New Roman" w:cs="Times New Roman"/>
          <w:color w:val="000000" w:themeColor="text1"/>
          <w:kern w:val="0"/>
          <w:szCs w:val="21"/>
        </w:rPr>
        <w:t>Calculation of the sensitivity of saliva-based antibody detection.</w:t>
      </w:r>
      <w:proofErr w:type="gramEnd"/>
    </w:p>
    <w:p w:rsidR="00961772" w:rsidRPr="00961772" w:rsidRDefault="00961772" w:rsidP="00961772">
      <w:pPr>
        <w:spacing w:before="156" w:after="156" w:line="360" w:lineRule="auto"/>
        <w:ind w:firstLine="440"/>
        <w:rPr>
          <w:rFonts w:ascii="Times New Roman" w:hAnsi="Times New Roman" w:cs="Times New Roman"/>
          <w:color w:val="000000" w:themeColor="text1"/>
          <w:kern w:val="0"/>
          <w:szCs w:val="21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kern w:val="0"/>
              <w:szCs w:val="21"/>
            </w:rPr>
            <m:t xml:space="preserve">sensitivity = 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kern w:val="0"/>
                  <w:szCs w:val="21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kern w:val="0"/>
                  <w:szCs w:val="21"/>
                </w:rPr>
                <m:t>true positives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kern w:val="0"/>
                  <w:szCs w:val="21"/>
                </w:rPr>
                <m:t>true positives + false negatives</m:t>
              </m:r>
            </m:den>
          </m:f>
          <m:r>
            <w:rPr>
              <w:rFonts w:ascii="Cambria Math" w:hAnsi="Cambria Math" w:cs="Times New Roman"/>
              <w:color w:val="000000" w:themeColor="text1"/>
              <w:kern w:val="0"/>
              <w:szCs w:val="21"/>
            </w:rPr>
            <m:t xml:space="preserve"> (2)</m:t>
          </m:r>
        </m:oMath>
      </m:oMathPara>
    </w:p>
    <w:p w:rsidR="00961772" w:rsidRPr="00961772" w:rsidRDefault="00961772" w:rsidP="00961772">
      <w:pPr>
        <w:spacing w:before="156" w:after="156" w:line="360" w:lineRule="auto"/>
        <w:ind w:firstLineChars="133" w:firstLine="279"/>
        <w:rPr>
          <w:rFonts w:ascii="Times New Roman" w:hAnsi="Times New Roman" w:cs="Times New Roman"/>
          <w:color w:val="000000" w:themeColor="text1"/>
          <w:kern w:val="0"/>
          <w:szCs w:val="21"/>
        </w:rPr>
      </w:pPr>
      <w:proofErr w:type="gramStart"/>
      <w:r w:rsidRPr="00961772">
        <w:rPr>
          <w:rFonts w:ascii="Times New Roman" w:hAnsi="Times New Roman" w:cs="Times New Roman"/>
          <w:color w:val="000000" w:themeColor="text1"/>
          <w:kern w:val="0"/>
          <w:szCs w:val="21"/>
        </w:rPr>
        <w:t>Equation S3.</w:t>
      </w:r>
      <w:proofErr w:type="gramEnd"/>
      <w:r w:rsidRPr="00961772">
        <w:rPr>
          <w:rFonts w:ascii="Times New Roman" w:hAnsi="Times New Roman" w:cs="Times New Roman"/>
          <w:color w:val="000000" w:themeColor="text1"/>
          <w:kern w:val="0"/>
          <w:szCs w:val="21"/>
        </w:rPr>
        <w:t xml:space="preserve"> </w:t>
      </w:r>
      <w:proofErr w:type="gramStart"/>
      <w:r w:rsidRPr="00961772">
        <w:rPr>
          <w:rFonts w:ascii="Times New Roman" w:hAnsi="Times New Roman" w:cs="Times New Roman"/>
          <w:color w:val="000000" w:themeColor="text1"/>
          <w:kern w:val="0"/>
          <w:szCs w:val="21"/>
        </w:rPr>
        <w:t>Calculation of the specificity of saliva-based antibody detection.</w:t>
      </w:r>
      <w:proofErr w:type="gramEnd"/>
    </w:p>
    <w:p w:rsidR="00961772" w:rsidRPr="00961772" w:rsidRDefault="00961772" w:rsidP="00961772">
      <w:pPr>
        <w:spacing w:before="156" w:after="156" w:line="360" w:lineRule="auto"/>
        <w:ind w:firstLineChars="133" w:firstLine="279"/>
        <w:rPr>
          <w:rFonts w:ascii="Times New Roman" w:hAnsi="Times New Roman" w:cs="Times New Roman"/>
          <w:color w:val="000000" w:themeColor="text1"/>
          <w:kern w:val="0"/>
          <w:szCs w:val="21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kern w:val="0"/>
              <w:szCs w:val="21"/>
            </w:rPr>
            <m:t xml:space="preserve">specificity = 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kern w:val="0"/>
                  <w:szCs w:val="21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kern w:val="0"/>
                  <w:szCs w:val="21"/>
                </w:rPr>
                <m:t>true negatives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kern w:val="0"/>
                  <w:szCs w:val="21"/>
                </w:rPr>
                <m:t>true negatives + false negatives</m:t>
              </m:r>
            </m:den>
          </m:f>
          <m:r>
            <w:rPr>
              <w:rFonts w:ascii="Cambria Math" w:hAnsi="Cambria Math" w:cs="Times New Roman"/>
              <w:color w:val="000000" w:themeColor="text1"/>
              <w:kern w:val="0"/>
              <w:szCs w:val="21"/>
            </w:rPr>
            <m:t xml:space="preserve"> (3)</m:t>
          </m:r>
        </m:oMath>
      </m:oMathPara>
    </w:p>
    <w:p w:rsidR="00961772" w:rsidRPr="00961772" w:rsidRDefault="00961772" w:rsidP="00961772">
      <w:pPr>
        <w:widowControl/>
        <w:spacing w:line="360" w:lineRule="auto"/>
        <w:jc w:val="left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961772">
        <w:rPr>
          <w:rFonts w:ascii="Times New Roman" w:hAnsi="Times New Roman" w:cs="Times New Roman"/>
          <w:color w:val="000000" w:themeColor="text1"/>
          <w:kern w:val="0"/>
          <w:szCs w:val="21"/>
        </w:rPr>
        <w:br w:type="page"/>
      </w:r>
    </w:p>
    <w:p w:rsidR="00961772" w:rsidRPr="00961772" w:rsidRDefault="00961772" w:rsidP="00961772">
      <w:pPr>
        <w:widowControl/>
        <w:spacing w:line="360" w:lineRule="auto"/>
        <w:rPr>
          <w:rFonts w:ascii="Times New Roman" w:hAnsi="Times New Roman" w:cs="Times New Roman"/>
          <w:bCs/>
          <w:color w:val="000000" w:themeColor="text1"/>
          <w:kern w:val="0"/>
          <w:szCs w:val="21"/>
        </w:rPr>
      </w:pPr>
      <w:r w:rsidRPr="00961772">
        <w:rPr>
          <w:rFonts w:ascii="Times New Roman" w:hAnsi="Times New Roman" w:cs="Times New Roman"/>
          <w:b/>
          <w:bCs/>
          <w:color w:val="000000" w:themeColor="text1"/>
          <w:kern w:val="0"/>
          <w:szCs w:val="21"/>
        </w:rPr>
        <w:lastRenderedPageBreak/>
        <w:t xml:space="preserve">Supplementary Table S1 </w:t>
      </w:r>
      <w:r w:rsidRPr="00961772">
        <w:rPr>
          <w:rFonts w:ascii="Times New Roman" w:hAnsi="Times New Roman" w:cs="Times New Roman"/>
          <w:bCs/>
          <w:color w:val="000000" w:themeColor="text1"/>
          <w:kern w:val="0"/>
          <w:szCs w:val="21"/>
        </w:rPr>
        <w:t xml:space="preserve">Different dilution ratios were analyzed five times with the ELISA kit, showing RSD values of </w:t>
      </w:r>
      <w:r w:rsidRPr="00961772">
        <w:rPr>
          <w:rFonts w:ascii="Times New Roman" w:hAnsi="Times New Roman" w:cs="Times New Roman"/>
          <w:bCs/>
          <w:color w:val="000000" w:themeColor="text1"/>
          <w:kern w:val="0"/>
          <w:szCs w:val="21"/>
        </w:rPr>
        <w:t>＜</w:t>
      </w:r>
      <w:r w:rsidRPr="00961772">
        <w:rPr>
          <w:rFonts w:ascii="Times New Roman" w:hAnsi="Times New Roman" w:cs="Times New Roman"/>
          <w:bCs/>
          <w:color w:val="000000" w:themeColor="text1"/>
          <w:kern w:val="0"/>
          <w:szCs w:val="21"/>
        </w:rPr>
        <w:t xml:space="preserve"> 10%.</w:t>
      </w:r>
    </w:p>
    <w:tbl>
      <w:tblPr>
        <w:tblW w:w="8626" w:type="dxa"/>
        <w:tblInd w:w="-10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82"/>
        <w:gridCol w:w="764"/>
        <w:gridCol w:w="764"/>
        <w:gridCol w:w="764"/>
        <w:gridCol w:w="764"/>
        <w:gridCol w:w="766"/>
        <w:gridCol w:w="881"/>
        <w:gridCol w:w="882"/>
        <w:gridCol w:w="1459"/>
      </w:tblGrid>
      <w:tr w:rsidR="00961772" w:rsidRPr="00961772" w:rsidTr="00D80579">
        <w:trPr>
          <w:trHeight w:val="783"/>
        </w:trPr>
        <w:tc>
          <w:tcPr>
            <w:tcW w:w="1582" w:type="dxa"/>
            <w:tcBorders>
              <w:top w:val="single" w:sz="8" w:space="0" w:color="auto"/>
              <w:bottom w:val="single" w:sz="8" w:space="0" w:color="auto"/>
            </w:tcBorders>
            <w:tcMar>
              <w:top w:w="201" w:type="nil"/>
              <w:left w:w="100" w:type="nil"/>
              <w:bottom w:w="100" w:type="nil"/>
              <w:right w:w="201" w:type="nil"/>
            </w:tcMar>
          </w:tcPr>
          <w:p w:rsidR="00961772" w:rsidRPr="00961772" w:rsidRDefault="00961772" w:rsidP="00961772">
            <w:pPr>
              <w:spacing w:before="156" w:after="156" w:line="360" w:lineRule="auto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617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Dilution ratio</w:t>
            </w:r>
          </w:p>
        </w:tc>
        <w:tc>
          <w:tcPr>
            <w:tcW w:w="3822" w:type="dxa"/>
            <w:gridSpan w:val="5"/>
            <w:tcBorders>
              <w:top w:val="single" w:sz="8" w:space="0" w:color="auto"/>
              <w:bottom w:val="single" w:sz="8" w:space="0" w:color="auto"/>
            </w:tcBorders>
            <w:tcMar>
              <w:top w:w="201" w:type="nil"/>
              <w:left w:w="100" w:type="nil"/>
              <w:bottom w:w="100" w:type="nil"/>
              <w:right w:w="201" w:type="nil"/>
            </w:tcMar>
          </w:tcPr>
          <w:p w:rsidR="00961772" w:rsidRPr="00961772" w:rsidRDefault="00961772" w:rsidP="00961772">
            <w:pPr>
              <w:spacing w:before="156" w:after="156" w:line="360" w:lineRule="auto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617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OD</w:t>
            </w:r>
          </w:p>
        </w:tc>
        <w:tc>
          <w:tcPr>
            <w:tcW w:w="881" w:type="dxa"/>
            <w:tcBorders>
              <w:top w:val="single" w:sz="8" w:space="0" w:color="auto"/>
              <w:bottom w:val="single" w:sz="8" w:space="0" w:color="auto"/>
            </w:tcBorders>
            <w:tcMar>
              <w:top w:w="201" w:type="nil"/>
              <w:left w:w="100" w:type="nil"/>
              <w:bottom w:w="100" w:type="nil"/>
              <w:right w:w="201" w:type="nil"/>
            </w:tcMar>
          </w:tcPr>
          <w:p w:rsidR="00961772" w:rsidRPr="00961772" w:rsidRDefault="00961772" w:rsidP="00961772">
            <w:pPr>
              <w:spacing w:before="156" w:after="156" w:line="360" w:lineRule="auto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617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Mean</w:t>
            </w:r>
          </w:p>
        </w:tc>
        <w:tc>
          <w:tcPr>
            <w:tcW w:w="882" w:type="dxa"/>
            <w:tcBorders>
              <w:top w:val="single" w:sz="8" w:space="0" w:color="auto"/>
              <w:bottom w:val="single" w:sz="8" w:space="0" w:color="auto"/>
            </w:tcBorders>
            <w:tcMar>
              <w:top w:w="201" w:type="nil"/>
              <w:left w:w="100" w:type="nil"/>
              <w:bottom w:w="100" w:type="nil"/>
              <w:right w:w="201" w:type="nil"/>
            </w:tcMar>
          </w:tcPr>
          <w:p w:rsidR="00961772" w:rsidRPr="00961772" w:rsidRDefault="00961772" w:rsidP="00961772">
            <w:pPr>
              <w:spacing w:before="156" w:after="156" w:line="360" w:lineRule="auto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617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STD</w:t>
            </w:r>
          </w:p>
        </w:tc>
        <w:tc>
          <w:tcPr>
            <w:tcW w:w="1459" w:type="dxa"/>
            <w:tcBorders>
              <w:top w:val="single" w:sz="8" w:space="0" w:color="auto"/>
              <w:bottom w:val="single" w:sz="8" w:space="0" w:color="auto"/>
            </w:tcBorders>
            <w:tcMar>
              <w:top w:w="201" w:type="nil"/>
              <w:left w:w="100" w:type="nil"/>
              <w:bottom w:w="100" w:type="nil"/>
              <w:right w:w="201" w:type="nil"/>
            </w:tcMar>
          </w:tcPr>
          <w:p w:rsidR="00961772" w:rsidRPr="00961772" w:rsidRDefault="00961772" w:rsidP="00961772">
            <w:pPr>
              <w:spacing w:before="156" w:after="156" w:line="360" w:lineRule="auto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617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RSD (%)</w:t>
            </w:r>
          </w:p>
        </w:tc>
      </w:tr>
      <w:tr w:rsidR="00961772" w:rsidRPr="00961772" w:rsidTr="00D80579">
        <w:trPr>
          <w:trHeight w:val="660"/>
        </w:trPr>
        <w:tc>
          <w:tcPr>
            <w:tcW w:w="1582" w:type="dxa"/>
            <w:tcBorders>
              <w:top w:val="single" w:sz="8" w:space="0" w:color="auto"/>
            </w:tcBorders>
            <w:tcMar>
              <w:top w:w="201" w:type="nil"/>
              <w:left w:w="100" w:type="nil"/>
              <w:bottom w:w="100" w:type="nil"/>
              <w:right w:w="201" w:type="nil"/>
            </w:tcMar>
          </w:tcPr>
          <w:p w:rsidR="00961772" w:rsidRPr="00961772" w:rsidRDefault="00961772" w:rsidP="00961772">
            <w:pPr>
              <w:spacing w:before="156" w:after="156" w:line="360" w:lineRule="auto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617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800</w:t>
            </w:r>
          </w:p>
        </w:tc>
        <w:tc>
          <w:tcPr>
            <w:tcW w:w="764" w:type="dxa"/>
            <w:tcBorders>
              <w:top w:val="single" w:sz="8" w:space="0" w:color="auto"/>
            </w:tcBorders>
            <w:tcMar>
              <w:top w:w="201" w:type="nil"/>
              <w:left w:w="100" w:type="nil"/>
              <w:bottom w:w="100" w:type="nil"/>
              <w:right w:w="201" w:type="nil"/>
            </w:tcMar>
          </w:tcPr>
          <w:p w:rsidR="00961772" w:rsidRPr="00961772" w:rsidRDefault="00961772" w:rsidP="00961772">
            <w:pPr>
              <w:spacing w:before="156" w:after="156" w:line="360" w:lineRule="auto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617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1.655</w:t>
            </w:r>
          </w:p>
        </w:tc>
        <w:tc>
          <w:tcPr>
            <w:tcW w:w="764" w:type="dxa"/>
            <w:tcBorders>
              <w:top w:val="single" w:sz="8" w:space="0" w:color="auto"/>
            </w:tcBorders>
            <w:tcMar>
              <w:top w:w="201" w:type="nil"/>
              <w:left w:w="100" w:type="nil"/>
              <w:bottom w:w="100" w:type="nil"/>
              <w:right w:w="201" w:type="nil"/>
            </w:tcMar>
          </w:tcPr>
          <w:p w:rsidR="00961772" w:rsidRPr="00961772" w:rsidRDefault="00961772" w:rsidP="00961772">
            <w:pPr>
              <w:spacing w:before="156" w:after="156" w:line="360" w:lineRule="auto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617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1.639</w:t>
            </w:r>
          </w:p>
        </w:tc>
        <w:tc>
          <w:tcPr>
            <w:tcW w:w="764" w:type="dxa"/>
            <w:tcBorders>
              <w:top w:val="single" w:sz="8" w:space="0" w:color="auto"/>
            </w:tcBorders>
            <w:tcMar>
              <w:top w:w="201" w:type="nil"/>
              <w:left w:w="100" w:type="nil"/>
              <w:bottom w:w="100" w:type="nil"/>
              <w:right w:w="201" w:type="nil"/>
            </w:tcMar>
          </w:tcPr>
          <w:p w:rsidR="00961772" w:rsidRPr="00961772" w:rsidRDefault="00961772" w:rsidP="00961772">
            <w:pPr>
              <w:spacing w:before="156" w:after="156" w:line="360" w:lineRule="auto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617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1.626</w:t>
            </w:r>
          </w:p>
        </w:tc>
        <w:tc>
          <w:tcPr>
            <w:tcW w:w="764" w:type="dxa"/>
            <w:tcBorders>
              <w:top w:val="single" w:sz="8" w:space="0" w:color="auto"/>
            </w:tcBorders>
            <w:tcMar>
              <w:top w:w="201" w:type="nil"/>
              <w:left w:w="100" w:type="nil"/>
              <w:bottom w:w="100" w:type="nil"/>
              <w:right w:w="201" w:type="nil"/>
            </w:tcMar>
          </w:tcPr>
          <w:p w:rsidR="00961772" w:rsidRPr="00961772" w:rsidRDefault="00961772" w:rsidP="00961772">
            <w:pPr>
              <w:spacing w:before="156" w:after="156" w:line="360" w:lineRule="auto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617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1.651</w:t>
            </w:r>
          </w:p>
        </w:tc>
        <w:tc>
          <w:tcPr>
            <w:tcW w:w="766" w:type="dxa"/>
            <w:tcBorders>
              <w:top w:val="single" w:sz="8" w:space="0" w:color="auto"/>
            </w:tcBorders>
            <w:tcMar>
              <w:top w:w="201" w:type="nil"/>
              <w:left w:w="100" w:type="nil"/>
              <w:bottom w:w="100" w:type="nil"/>
              <w:right w:w="201" w:type="nil"/>
            </w:tcMar>
          </w:tcPr>
          <w:p w:rsidR="00961772" w:rsidRPr="00961772" w:rsidRDefault="00961772" w:rsidP="00961772">
            <w:pPr>
              <w:spacing w:before="156" w:after="156" w:line="360" w:lineRule="auto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617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1.673</w:t>
            </w:r>
          </w:p>
        </w:tc>
        <w:tc>
          <w:tcPr>
            <w:tcW w:w="881" w:type="dxa"/>
            <w:tcBorders>
              <w:top w:val="single" w:sz="8" w:space="0" w:color="auto"/>
            </w:tcBorders>
            <w:tcMar>
              <w:top w:w="201" w:type="nil"/>
              <w:left w:w="100" w:type="nil"/>
              <w:bottom w:w="100" w:type="nil"/>
              <w:right w:w="201" w:type="nil"/>
            </w:tcMar>
          </w:tcPr>
          <w:p w:rsidR="00961772" w:rsidRPr="00961772" w:rsidRDefault="00961772" w:rsidP="00961772">
            <w:pPr>
              <w:spacing w:before="156" w:after="156" w:line="360" w:lineRule="auto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617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1.649</w:t>
            </w:r>
          </w:p>
        </w:tc>
        <w:tc>
          <w:tcPr>
            <w:tcW w:w="882" w:type="dxa"/>
            <w:tcBorders>
              <w:top w:val="single" w:sz="8" w:space="0" w:color="auto"/>
            </w:tcBorders>
            <w:tcMar>
              <w:top w:w="201" w:type="nil"/>
              <w:left w:w="100" w:type="nil"/>
              <w:bottom w:w="100" w:type="nil"/>
              <w:right w:w="201" w:type="nil"/>
            </w:tcMar>
          </w:tcPr>
          <w:p w:rsidR="00961772" w:rsidRPr="00961772" w:rsidRDefault="00961772" w:rsidP="00961772">
            <w:pPr>
              <w:spacing w:before="156" w:after="156" w:line="360" w:lineRule="auto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617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0.0176</w:t>
            </w:r>
          </w:p>
        </w:tc>
        <w:tc>
          <w:tcPr>
            <w:tcW w:w="1459" w:type="dxa"/>
            <w:tcBorders>
              <w:top w:val="single" w:sz="8" w:space="0" w:color="auto"/>
            </w:tcBorders>
            <w:tcMar>
              <w:top w:w="201" w:type="nil"/>
              <w:left w:w="100" w:type="nil"/>
              <w:bottom w:w="100" w:type="nil"/>
              <w:right w:w="201" w:type="nil"/>
            </w:tcMar>
          </w:tcPr>
          <w:p w:rsidR="00961772" w:rsidRPr="00961772" w:rsidRDefault="00961772" w:rsidP="00961772">
            <w:pPr>
              <w:spacing w:before="156" w:after="156" w:line="360" w:lineRule="auto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617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1.06</w:t>
            </w:r>
          </w:p>
        </w:tc>
      </w:tr>
      <w:tr w:rsidR="00961772" w:rsidRPr="00961772" w:rsidTr="00D80579">
        <w:trPr>
          <w:trHeight w:val="660"/>
        </w:trPr>
        <w:tc>
          <w:tcPr>
            <w:tcW w:w="1582" w:type="dxa"/>
            <w:tcMar>
              <w:top w:w="201" w:type="nil"/>
              <w:left w:w="100" w:type="nil"/>
              <w:bottom w:w="100" w:type="nil"/>
              <w:right w:w="201" w:type="nil"/>
            </w:tcMar>
          </w:tcPr>
          <w:p w:rsidR="00961772" w:rsidRPr="00961772" w:rsidRDefault="00961772" w:rsidP="00961772">
            <w:pPr>
              <w:spacing w:before="156" w:after="156" w:line="360" w:lineRule="auto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617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1600</w:t>
            </w:r>
          </w:p>
        </w:tc>
        <w:tc>
          <w:tcPr>
            <w:tcW w:w="764" w:type="dxa"/>
            <w:tcMar>
              <w:top w:w="201" w:type="nil"/>
              <w:left w:w="100" w:type="nil"/>
              <w:bottom w:w="100" w:type="nil"/>
              <w:right w:w="201" w:type="nil"/>
            </w:tcMar>
          </w:tcPr>
          <w:p w:rsidR="00961772" w:rsidRPr="00961772" w:rsidRDefault="00961772" w:rsidP="00961772">
            <w:pPr>
              <w:spacing w:before="156" w:after="156" w:line="360" w:lineRule="auto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617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0.846</w:t>
            </w:r>
          </w:p>
        </w:tc>
        <w:tc>
          <w:tcPr>
            <w:tcW w:w="764" w:type="dxa"/>
            <w:tcMar>
              <w:top w:w="201" w:type="nil"/>
              <w:left w:w="100" w:type="nil"/>
              <w:bottom w:w="100" w:type="nil"/>
              <w:right w:w="201" w:type="nil"/>
            </w:tcMar>
          </w:tcPr>
          <w:p w:rsidR="00961772" w:rsidRPr="00961772" w:rsidRDefault="00961772" w:rsidP="00961772">
            <w:pPr>
              <w:spacing w:before="156" w:after="156" w:line="360" w:lineRule="auto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617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0.820</w:t>
            </w:r>
          </w:p>
        </w:tc>
        <w:tc>
          <w:tcPr>
            <w:tcW w:w="764" w:type="dxa"/>
            <w:tcMar>
              <w:top w:w="201" w:type="nil"/>
              <w:left w:w="100" w:type="nil"/>
              <w:bottom w:w="100" w:type="nil"/>
              <w:right w:w="201" w:type="nil"/>
            </w:tcMar>
          </w:tcPr>
          <w:p w:rsidR="00961772" w:rsidRPr="00961772" w:rsidRDefault="00961772" w:rsidP="00961772">
            <w:pPr>
              <w:spacing w:before="156" w:after="156" w:line="360" w:lineRule="auto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617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0.893</w:t>
            </w:r>
          </w:p>
        </w:tc>
        <w:tc>
          <w:tcPr>
            <w:tcW w:w="764" w:type="dxa"/>
            <w:tcMar>
              <w:top w:w="201" w:type="nil"/>
              <w:left w:w="100" w:type="nil"/>
              <w:bottom w:w="100" w:type="nil"/>
              <w:right w:w="201" w:type="nil"/>
            </w:tcMar>
          </w:tcPr>
          <w:p w:rsidR="00961772" w:rsidRPr="00961772" w:rsidRDefault="00961772" w:rsidP="00961772">
            <w:pPr>
              <w:spacing w:before="156" w:after="156" w:line="360" w:lineRule="auto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617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0.874</w:t>
            </w:r>
          </w:p>
        </w:tc>
        <w:tc>
          <w:tcPr>
            <w:tcW w:w="766" w:type="dxa"/>
            <w:tcMar>
              <w:top w:w="201" w:type="nil"/>
              <w:left w:w="100" w:type="nil"/>
              <w:bottom w:w="100" w:type="nil"/>
              <w:right w:w="201" w:type="nil"/>
            </w:tcMar>
          </w:tcPr>
          <w:p w:rsidR="00961772" w:rsidRPr="00961772" w:rsidRDefault="00961772" w:rsidP="00961772">
            <w:pPr>
              <w:spacing w:before="156" w:after="156" w:line="360" w:lineRule="auto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617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1.035</w:t>
            </w:r>
          </w:p>
        </w:tc>
        <w:tc>
          <w:tcPr>
            <w:tcW w:w="881" w:type="dxa"/>
            <w:tcMar>
              <w:top w:w="201" w:type="nil"/>
              <w:left w:w="100" w:type="nil"/>
              <w:bottom w:w="100" w:type="nil"/>
              <w:right w:w="201" w:type="nil"/>
            </w:tcMar>
          </w:tcPr>
          <w:p w:rsidR="00961772" w:rsidRPr="00961772" w:rsidRDefault="00961772" w:rsidP="00961772">
            <w:pPr>
              <w:spacing w:before="156" w:after="156" w:line="360" w:lineRule="auto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617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0.894</w:t>
            </w:r>
          </w:p>
        </w:tc>
        <w:tc>
          <w:tcPr>
            <w:tcW w:w="882" w:type="dxa"/>
            <w:tcMar>
              <w:top w:w="201" w:type="nil"/>
              <w:left w:w="100" w:type="nil"/>
              <w:bottom w:w="100" w:type="nil"/>
              <w:right w:w="201" w:type="nil"/>
            </w:tcMar>
          </w:tcPr>
          <w:p w:rsidR="00961772" w:rsidRPr="00961772" w:rsidRDefault="00961772" w:rsidP="00961772">
            <w:pPr>
              <w:spacing w:before="156" w:after="156" w:line="360" w:lineRule="auto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617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0.0838</w:t>
            </w:r>
          </w:p>
        </w:tc>
        <w:tc>
          <w:tcPr>
            <w:tcW w:w="1459" w:type="dxa"/>
            <w:tcMar>
              <w:top w:w="201" w:type="nil"/>
              <w:left w:w="100" w:type="nil"/>
              <w:bottom w:w="100" w:type="nil"/>
              <w:right w:w="201" w:type="nil"/>
            </w:tcMar>
          </w:tcPr>
          <w:p w:rsidR="00961772" w:rsidRPr="00961772" w:rsidRDefault="00961772" w:rsidP="00961772">
            <w:pPr>
              <w:spacing w:before="156" w:after="156" w:line="360" w:lineRule="auto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617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9.37</w:t>
            </w:r>
          </w:p>
        </w:tc>
      </w:tr>
      <w:tr w:rsidR="00961772" w:rsidRPr="00961772" w:rsidTr="00D80579">
        <w:tblPrEx>
          <w:tblBorders>
            <w:top w:val="nil"/>
          </w:tblBorders>
        </w:tblPrEx>
        <w:trPr>
          <w:trHeight w:val="660"/>
        </w:trPr>
        <w:tc>
          <w:tcPr>
            <w:tcW w:w="1582" w:type="dxa"/>
            <w:tcBorders>
              <w:bottom w:val="single" w:sz="8" w:space="0" w:color="auto"/>
            </w:tcBorders>
            <w:tcMar>
              <w:top w:w="201" w:type="nil"/>
              <w:left w:w="100" w:type="nil"/>
              <w:bottom w:w="100" w:type="nil"/>
              <w:right w:w="201" w:type="nil"/>
            </w:tcMar>
          </w:tcPr>
          <w:p w:rsidR="00961772" w:rsidRPr="00961772" w:rsidRDefault="00961772" w:rsidP="00961772">
            <w:pPr>
              <w:spacing w:before="156" w:after="156" w:line="360" w:lineRule="auto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617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3200</w:t>
            </w:r>
          </w:p>
        </w:tc>
        <w:tc>
          <w:tcPr>
            <w:tcW w:w="764" w:type="dxa"/>
            <w:tcBorders>
              <w:bottom w:val="single" w:sz="8" w:space="0" w:color="auto"/>
            </w:tcBorders>
            <w:tcMar>
              <w:top w:w="201" w:type="nil"/>
              <w:left w:w="100" w:type="nil"/>
              <w:bottom w:w="100" w:type="nil"/>
              <w:right w:w="201" w:type="nil"/>
            </w:tcMar>
          </w:tcPr>
          <w:p w:rsidR="00961772" w:rsidRPr="00961772" w:rsidRDefault="00961772" w:rsidP="00961772">
            <w:pPr>
              <w:spacing w:before="156" w:after="156" w:line="360" w:lineRule="auto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617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0.427</w:t>
            </w:r>
          </w:p>
        </w:tc>
        <w:tc>
          <w:tcPr>
            <w:tcW w:w="764" w:type="dxa"/>
            <w:tcBorders>
              <w:bottom w:val="single" w:sz="8" w:space="0" w:color="auto"/>
            </w:tcBorders>
            <w:tcMar>
              <w:top w:w="201" w:type="nil"/>
              <w:left w:w="100" w:type="nil"/>
              <w:bottom w:w="100" w:type="nil"/>
              <w:right w:w="201" w:type="nil"/>
            </w:tcMar>
          </w:tcPr>
          <w:p w:rsidR="00961772" w:rsidRPr="00961772" w:rsidRDefault="00961772" w:rsidP="00961772">
            <w:pPr>
              <w:spacing w:before="156" w:after="156" w:line="360" w:lineRule="auto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617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0.423</w:t>
            </w:r>
          </w:p>
        </w:tc>
        <w:tc>
          <w:tcPr>
            <w:tcW w:w="764" w:type="dxa"/>
            <w:tcBorders>
              <w:bottom w:val="single" w:sz="8" w:space="0" w:color="auto"/>
            </w:tcBorders>
            <w:tcMar>
              <w:top w:w="201" w:type="nil"/>
              <w:left w:w="100" w:type="nil"/>
              <w:bottom w:w="100" w:type="nil"/>
              <w:right w:w="201" w:type="nil"/>
            </w:tcMar>
          </w:tcPr>
          <w:p w:rsidR="00961772" w:rsidRPr="00961772" w:rsidRDefault="00961772" w:rsidP="00961772">
            <w:pPr>
              <w:spacing w:before="156" w:after="156" w:line="360" w:lineRule="auto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617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0.418</w:t>
            </w:r>
          </w:p>
        </w:tc>
        <w:tc>
          <w:tcPr>
            <w:tcW w:w="764" w:type="dxa"/>
            <w:tcBorders>
              <w:bottom w:val="single" w:sz="8" w:space="0" w:color="auto"/>
            </w:tcBorders>
            <w:tcMar>
              <w:top w:w="201" w:type="nil"/>
              <w:left w:w="100" w:type="nil"/>
              <w:bottom w:w="100" w:type="nil"/>
              <w:right w:w="201" w:type="nil"/>
            </w:tcMar>
          </w:tcPr>
          <w:p w:rsidR="00961772" w:rsidRPr="00961772" w:rsidRDefault="00961772" w:rsidP="00961772">
            <w:pPr>
              <w:spacing w:before="156" w:after="156" w:line="360" w:lineRule="auto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617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0.470</w:t>
            </w:r>
          </w:p>
        </w:tc>
        <w:tc>
          <w:tcPr>
            <w:tcW w:w="766" w:type="dxa"/>
            <w:tcBorders>
              <w:bottom w:val="single" w:sz="8" w:space="0" w:color="auto"/>
            </w:tcBorders>
            <w:tcMar>
              <w:top w:w="201" w:type="nil"/>
              <w:left w:w="100" w:type="nil"/>
              <w:bottom w:w="100" w:type="nil"/>
              <w:right w:w="201" w:type="nil"/>
            </w:tcMar>
          </w:tcPr>
          <w:p w:rsidR="00961772" w:rsidRPr="00961772" w:rsidRDefault="00961772" w:rsidP="00961772">
            <w:pPr>
              <w:spacing w:before="156" w:after="156" w:line="360" w:lineRule="auto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617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0.497</w:t>
            </w:r>
          </w:p>
        </w:tc>
        <w:tc>
          <w:tcPr>
            <w:tcW w:w="881" w:type="dxa"/>
            <w:tcBorders>
              <w:bottom w:val="single" w:sz="8" w:space="0" w:color="auto"/>
            </w:tcBorders>
            <w:tcMar>
              <w:top w:w="201" w:type="nil"/>
              <w:left w:w="100" w:type="nil"/>
              <w:bottom w:w="100" w:type="nil"/>
              <w:right w:w="201" w:type="nil"/>
            </w:tcMar>
          </w:tcPr>
          <w:p w:rsidR="00961772" w:rsidRPr="00961772" w:rsidRDefault="00961772" w:rsidP="00961772">
            <w:pPr>
              <w:spacing w:before="156" w:after="156" w:line="360" w:lineRule="auto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617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0.434</w:t>
            </w:r>
          </w:p>
        </w:tc>
        <w:tc>
          <w:tcPr>
            <w:tcW w:w="882" w:type="dxa"/>
            <w:tcBorders>
              <w:bottom w:val="single" w:sz="8" w:space="0" w:color="auto"/>
            </w:tcBorders>
            <w:tcMar>
              <w:top w:w="201" w:type="nil"/>
              <w:left w:w="100" w:type="nil"/>
              <w:bottom w:w="100" w:type="nil"/>
              <w:right w:w="201" w:type="nil"/>
            </w:tcMar>
          </w:tcPr>
          <w:p w:rsidR="00961772" w:rsidRPr="00961772" w:rsidRDefault="00961772" w:rsidP="00961772">
            <w:pPr>
              <w:spacing w:before="156" w:after="156" w:line="360" w:lineRule="auto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617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0.0358</w:t>
            </w:r>
          </w:p>
        </w:tc>
        <w:tc>
          <w:tcPr>
            <w:tcW w:w="1459" w:type="dxa"/>
            <w:tcBorders>
              <w:bottom w:val="single" w:sz="8" w:space="0" w:color="auto"/>
            </w:tcBorders>
            <w:tcMar>
              <w:top w:w="201" w:type="nil"/>
              <w:left w:w="100" w:type="nil"/>
              <w:bottom w:w="100" w:type="nil"/>
              <w:right w:w="201" w:type="nil"/>
            </w:tcMar>
          </w:tcPr>
          <w:p w:rsidR="00961772" w:rsidRPr="00961772" w:rsidRDefault="00961772" w:rsidP="00961772">
            <w:pPr>
              <w:spacing w:before="156" w:after="156" w:line="360" w:lineRule="auto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617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8.23</w:t>
            </w:r>
          </w:p>
        </w:tc>
      </w:tr>
    </w:tbl>
    <w:p w:rsidR="00961772" w:rsidRPr="00961772" w:rsidRDefault="00961772" w:rsidP="00961772">
      <w:pPr>
        <w:widowControl/>
        <w:spacing w:line="360" w:lineRule="auto"/>
        <w:jc w:val="left"/>
        <w:rPr>
          <w:rFonts w:ascii="Times New Roman" w:hAnsi="Times New Roman" w:cs="Times New Roman"/>
          <w:bCs/>
          <w:color w:val="000000" w:themeColor="text1"/>
          <w:kern w:val="0"/>
          <w:szCs w:val="21"/>
        </w:rPr>
      </w:pPr>
      <w:proofErr w:type="gramStart"/>
      <w:r w:rsidRPr="00961772">
        <w:rPr>
          <w:rFonts w:ascii="Times New Roman" w:hAnsi="Times New Roman" w:cs="Times New Roman"/>
          <w:bCs/>
          <w:i/>
          <w:color w:val="000000" w:themeColor="text1"/>
          <w:kern w:val="0"/>
          <w:szCs w:val="21"/>
        </w:rPr>
        <w:t>OD</w:t>
      </w:r>
      <w:r w:rsidRPr="00961772">
        <w:rPr>
          <w:rFonts w:ascii="Times New Roman" w:hAnsi="Times New Roman" w:cs="Times New Roman"/>
          <w:bCs/>
          <w:color w:val="000000" w:themeColor="text1"/>
          <w:kern w:val="0"/>
          <w:szCs w:val="21"/>
        </w:rPr>
        <w:t xml:space="preserve">, optical density; </w:t>
      </w:r>
      <w:r w:rsidRPr="00961772">
        <w:rPr>
          <w:rFonts w:ascii="Times New Roman" w:hAnsi="Times New Roman" w:cs="Times New Roman"/>
          <w:bCs/>
          <w:i/>
          <w:color w:val="000000" w:themeColor="text1"/>
          <w:kern w:val="0"/>
          <w:szCs w:val="21"/>
        </w:rPr>
        <w:t>STD</w:t>
      </w:r>
      <w:r w:rsidRPr="00961772">
        <w:rPr>
          <w:rFonts w:ascii="Times New Roman" w:hAnsi="Times New Roman" w:cs="Times New Roman"/>
          <w:bCs/>
          <w:color w:val="000000" w:themeColor="text1"/>
          <w:kern w:val="0"/>
          <w:szCs w:val="21"/>
        </w:rPr>
        <w:t xml:space="preserve">, standard deviation; </w:t>
      </w:r>
      <w:r w:rsidRPr="00961772">
        <w:rPr>
          <w:rFonts w:ascii="Times New Roman" w:hAnsi="Times New Roman" w:cs="Times New Roman"/>
          <w:bCs/>
          <w:i/>
          <w:color w:val="000000" w:themeColor="text1"/>
          <w:kern w:val="0"/>
          <w:szCs w:val="21"/>
        </w:rPr>
        <w:t>RSD</w:t>
      </w:r>
      <w:r w:rsidRPr="00961772">
        <w:rPr>
          <w:rFonts w:ascii="Times New Roman" w:hAnsi="Times New Roman" w:cs="Times New Roman"/>
          <w:bCs/>
          <w:color w:val="000000" w:themeColor="text1"/>
          <w:kern w:val="0"/>
          <w:szCs w:val="21"/>
        </w:rPr>
        <w:t>, relative standard deviation.</w:t>
      </w:r>
      <w:proofErr w:type="gramEnd"/>
    </w:p>
    <w:p w:rsidR="00961772" w:rsidRPr="00961772" w:rsidRDefault="00961772" w:rsidP="00961772">
      <w:pPr>
        <w:widowControl/>
        <w:spacing w:line="360" w:lineRule="auto"/>
        <w:jc w:val="left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961772">
        <w:rPr>
          <w:rFonts w:ascii="Times New Roman" w:hAnsi="Times New Roman" w:cs="Times New Roman"/>
          <w:color w:val="000000" w:themeColor="text1"/>
          <w:kern w:val="0"/>
          <w:szCs w:val="21"/>
        </w:rPr>
        <w:br w:type="page"/>
      </w:r>
    </w:p>
    <w:p w:rsidR="00961772" w:rsidRPr="00961772" w:rsidRDefault="00961772" w:rsidP="00961772">
      <w:pPr>
        <w:spacing w:before="156" w:after="156" w:line="360" w:lineRule="auto"/>
        <w:jc w:val="left"/>
        <w:rPr>
          <w:rFonts w:ascii="Times New Roman" w:hAnsi="Times New Roman" w:cs="Times New Roman"/>
          <w:b/>
          <w:bCs/>
          <w:color w:val="000000" w:themeColor="text1"/>
          <w:kern w:val="0"/>
          <w:szCs w:val="21"/>
        </w:rPr>
      </w:pPr>
      <w:r w:rsidRPr="00961772">
        <w:rPr>
          <w:rFonts w:ascii="Times New Roman" w:hAnsi="Times New Roman" w:cs="Times New Roman"/>
          <w:b/>
          <w:bCs/>
          <w:color w:val="000000" w:themeColor="text1"/>
          <w:kern w:val="0"/>
          <w:szCs w:val="21"/>
        </w:rPr>
        <w:lastRenderedPageBreak/>
        <w:t xml:space="preserve">Supplementary Table S2 </w:t>
      </w:r>
      <w:r w:rsidRPr="00961772">
        <w:rPr>
          <w:rFonts w:ascii="Times New Roman" w:hAnsi="Times New Roman" w:cs="Times New Roman"/>
          <w:bCs/>
          <w:color w:val="000000" w:themeColor="text1"/>
          <w:kern w:val="0"/>
          <w:szCs w:val="21"/>
        </w:rPr>
        <w:t>Test results of 100 COVID-19 convalescent patients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85"/>
        <w:gridCol w:w="2962"/>
        <w:gridCol w:w="2893"/>
        <w:gridCol w:w="1787"/>
      </w:tblGrid>
      <w:tr w:rsidR="00961772" w:rsidRPr="00961772" w:rsidTr="00D80579">
        <w:trPr>
          <w:trHeight w:val="293"/>
        </w:trPr>
        <w:tc>
          <w:tcPr>
            <w:tcW w:w="115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1772" w:rsidRPr="00961772" w:rsidRDefault="00961772" w:rsidP="00961772">
            <w:pPr>
              <w:spacing w:before="156" w:after="156" w:line="360" w:lineRule="auto"/>
              <w:ind w:firstLine="440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617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Groups</w:t>
            </w:r>
          </w:p>
        </w:tc>
        <w:tc>
          <w:tcPr>
            <w:tcW w:w="29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1772" w:rsidRPr="00961772" w:rsidRDefault="00961772" w:rsidP="00961772">
            <w:pPr>
              <w:spacing w:before="156" w:after="156" w:line="360" w:lineRule="auto"/>
              <w:ind w:firstLine="440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617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COVID-19 patients, n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1772" w:rsidRPr="00961772" w:rsidRDefault="00961772" w:rsidP="00961772">
            <w:pPr>
              <w:spacing w:before="156" w:after="156" w:line="360" w:lineRule="auto"/>
              <w:ind w:firstLine="440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617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Total, n</w:t>
            </w:r>
          </w:p>
        </w:tc>
      </w:tr>
      <w:tr w:rsidR="00961772" w:rsidRPr="00961772" w:rsidTr="00D80579">
        <w:trPr>
          <w:trHeight w:val="567"/>
        </w:trPr>
        <w:tc>
          <w:tcPr>
            <w:tcW w:w="1151" w:type="pct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1772" w:rsidRPr="00961772" w:rsidRDefault="00961772" w:rsidP="00961772">
            <w:pPr>
              <w:spacing w:before="156" w:after="156" w:line="360" w:lineRule="auto"/>
              <w:ind w:firstLine="440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617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Positive</w:t>
            </w:r>
          </w:p>
        </w:tc>
        <w:tc>
          <w:tcPr>
            <w:tcW w:w="149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1772" w:rsidRPr="00961772" w:rsidRDefault="00961772" w:rsidP="00961772">
            <w:pPr>
              <w:spacing w:before="156" w:after="156" w:line="360" w:lineRule="auto"/>
              <w:ind w:firstLine="440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617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True positive</w:t>
            </w:r>
          </w:p>
        </w:tc>
        <w:tc>
          <w:tcPr>
            <w:tcW w:w="145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1772" w:rsidRPr="00961772" w:rsidRDefault="00961772" w:rsidP="00961772">
            <w:pPr>
              <w:spacing w:before="156" w:after="156" w:line="360" w:lineRule="auto"/>
              <w:ind w:firstLine="440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617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False positive</w:t>
            </w:r>
          </w:p>
        </w:tc>
        <w:tc>
          <w:tcPr>
            <w:tcW w:w="900" w:type="pct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1772" w:rsidRPr="00961772" w:rsidRDefault="00961772" w:rsidP="00961772">
            <w:pPr>
              <w:spacing w:before="156" w:after="156" w:line="360" w:lineRule="auto"/>
              <w:ind w:firstLine="440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617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83</w:t>
            </w:r>
          </w:p>
        </w:tc>
      </w:tr>
      <w:tr w:rsidR="00961772" w:rsidRPr="00961772" w:rsidTr="00D80579">
        <w:trPr>
          <w:trHeight w:val="567"/>
        </w:trPr>
        <w:tc>
          <w:tcPr>
            <w:tcW w:w="1151" w:type="pct"/>
            <w:vMerge/>
            <w:tcBorders>
              <w:top w:val="single" w:sz="12" w:space="0" w:color="000000"/>
              <w:left w:val="nil"/>
              <w:bottom w:val="nil"/>
              <w:right w:val="nil"/>
            </w:tcBorders>
            <w:hideMark/>
          </w:tcPr>
          <w:p w:rsidR="00961772" w:rsidRPr="00961772" w:rsidRDefault="00961772" w:rsidP="00961772">
            <w:pPr>
              <w:spacing w:before="156" w:after="156" w:line="360" w:lineRule="auto"/>
              <w:ind w:firstLine="440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1772" w:rsidRPr="00961772" w:rsidRDefault="00961772" w:rsidP="00961772">
            <w:pPr>
              <w:spacing w:before="156" w:after="156" w:line="360" w:lineRule="auto"/>
              <w:ind w:firstLine="440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617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82</w:t>
            </w:r>
          </w:p>
        </w:tc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1772" w:rsidRPr="00961772" w:rsidRDefault="00961772" w:rsidP="00961772">
            <w:pPr>
              <w:spacing w:before="156" w:after="156" w:line="360" w:lineRule="auto"/>
              <w:ind w:firstLine="440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617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00" w:type="pct"/>
            <w:vMerge/>
            <w:tcBorders>
              <w:top w:val="single" w:sz="12" w:space="0" w:color="000000"/>
              <w:left w:val="nil"/>
              <w:bottom w:val="nil"/>
              <w:right w:val="nil"/>
            </w:tcBorders>
            <w:hideMark/>
          </w:tcPr>
          <w:p w:rsidR="00961772" w:rsidRPr="00961772" w:rsidRDefault="00961772" w:rsidP="00961772">
            <w:pPr>
              <w:spacing w:before="156" w:after="156" w:line="360" w:lineRule="auto"/>
              <w:ind w:firstLine="440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961772" w:rsidRPr="00961772" w:rsidTr="00D80579">
        <w:trPr>
          <w:trHeight w:val="567"/>
        </w:trPr>
        <w:tc>
          <w:tcPr>
            <w:tcW w:w="115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1772" w:rsidRPr="00961772" w:rsidRDefault="00961772" w:rsidP="00961772">
            <w:pPr>
              <w:spacing w:before="156" w:after="156" w:line="360" w:lineRule="auto"/>
              <w:ind w:firstLine="440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617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Negative</w:t>
            </w: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1772" w:rsidRPr="00961772" w:rsidRDefault="00961772" w:rsidP="00961772">
            <w:pPr>
              <w:spacing w:before="156" w:after="156" w:line="360" w:lineRule="auto"/>
              <w:ind w:firstLine="440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617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False negative</w:t>
            </w:r>
          </w:p>
        </w:tc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1772" w:rsidRPr="00961772" w:rsidRDefault="00961772" w:rsidP="00961772">
            <w:pPr>
              <w:spacing w:before="156" w:after="156" w:line="360" w:lineRule="auto"/>
              <w:ind w:firstLine="440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617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True negative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1772" w:rsidRPr="00961772" w:rsidRDefault="00961772" w:rsidP="00961772">
            <w:pPr>
              <w:spacing w:before="156" w:after="156" w:line="360" w:lineRule="auto"/>
              <w:ind w:firstLine="440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617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17</w:t>
            </w:r>
          </w:p>
        </w:tc>
      </w:tr>
      <w:tr w:rsidR="00961772" w:rsidRPr="00961772" w:rsidTr="00D80579">
        <w:trPr>
          <w:trHeight w:val="567"/>
        </w:trPr>
        <w:tc>
          <w:tcPr>
            <w:tcW w:w="1151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961772" w:rsidRPr="00961772" w:rsidRDefault="00961772" w:rsidP="00961772">
            <w:pPr>
              <w:spacing w:before="156" w:after="156" w:line="360" w:lineRule="auto"/>
              <w:ind w:firstLine="440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1772" w:rsidRPr="00961772" w:rsidRDefault="00961772" w:rsidP="00961772">
            <w:pPr>
              <w:spacing w:before="156" w:after="156" w:line="360" w:lineRule="auto"/>
              <w:ind w:firstLine="440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617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1772" w:rsidRPr="00961772" w:rsidRDefault="00961772" w:rsidP="00961772">
            <w:pPr>
              <w:spacing w:before="156" w:after="156" w:line="360" w:lineRule="auto"/>
              <w:ind w:firstLine="440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617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900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961772" w:rsidRPr="00961772" w:rsidRDefault="00961772" w:rsidP="00961772">
            <w:pPr>
              <w:spacing w:before="156" w:after="156" w:line="360" w:lineRule="auto"/>
              <w:ind w:firstLine="440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961772" w:rsidRPr="00961772" w:rsidTr="00D80579">
        <w:trPr>
          <w:trHeight w:val="567"/>
        </w:trPr>
        <w:tc>
          <w:tcPr>
            <w:tcW w:w="11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1772" w:rsidRPr="00961772" w:rsidRDefault="00961772" w:rsidP="00961772">
            <w:pPr>
              <w:spacing w:before="156" w:after="156" w:line="360" w:lineRule="auto"/>
              <w:ind w:firstLine="440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617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Total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1772" w:rsidRPr="00961772" w:rsidRDefault="00961772" w:rsidP="00961772">
            <w:pPr>
              <w:spacing w:before="156" w:after="156" w:line="360" w:lineRule="auto"/>
              <w:ind w:firstLine="440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617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94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1772" w:rsidRPr="00961772" w:rsidRDefault="00961772" w:rsidP="00961772">
            <w:pPr>
              <w:spacing w:before="156" w:after="156" w:line="360" w:lineRule="auto"/>
              <w:ind w:firstLine="440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617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1772" w:rsidRPr="00961772" w:rsidRDefault="00961772" w:rsidP="00961772">
            <w:pPr>
              <w:spacing w:before="156" w:after="156" w:line="360" w:lineRule="auto"/>
              <w:ind w:firstLine="440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6177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100</w:t>
            </w:r>
          </w:p>
        </w:tc>
      </w:tr>
    </w:tbl>
    <w:p w:rsidR="00961772" w:rsidRPr="00961772" w:rsidRDefault="00961772" w:rsidP="00961772">
      <w:pPr>
        <w:widowControl/>
        <w:spacing w:line="360" w:lineRule="auto"/>
        <w:jc w:val="left"/>
        <w:rPr>
          <w:rFonts w:ascii="Times New Roman" w:hAnsi="Times New Roman" w:cs="Times New Roman"/>
          <w:b/>
          <w:bCs/>
          <w:color w:val="000000" w:themeColor="text1"/>
          <w:szCs w:val="21"/>
        </w:rPr>
      </w:pPr>
    </w:p>
    <w:p w:rsidR="00961772" w:rsidRPr="00961772" w:rsidRDefault="00961772" w:rsidP="00961772">
      <w:pPr>
        <w:spacing w:before="156" w:after="156" w:line="360" w:lineRule="auto"/>
        <w:ind w:firstLine="440"/>
        <w:jc w:val="center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961772">
        <w:rPr>
          <w:rFonts w:ascii="Times New Roman" w:hAnsi="Times New Roman" w:cs="Times New Roman"/>
          <w:color w:val="000000" w:themeColor="text1"/>
          <w:szCs w:val="21"/>
        </w:rPr>
        <w:br w:type="page"/>
      </w:r>
      <w:r w:rsidRPr="00961772">
        <w:rPr>
          <w:rFonts w:ascii="Times New Roman" w:hAnsi="Times New Roman" w:cs="Times New Roman"/>
          <w:noProof/>
          <w:color w:val="000000" w:themeColor="text1"/>
          <w:kern w:val="0"/>
          <w:szCs w:val="21"/>
        </w:rPr>
        <w:lastRenderedPageBreak/>
        <w:drawing>
          <wp:inline distT="0" distB="0" distL="0" distR="0" wp14:anchorId="372DCD02" wp14:editId="731EA329">
            <wp:extent cx="2880000" cy="2346715"/>
            <wp:effectExtent l="0" t="0" r="0" b="0"/>
            <wp:docPr id="1" name="图片 6" descr="图片包含 黑暗, 游戏机, 男人, 房间&#10;&#10;描述已自动生成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图片包含 黑暗, 游戏机, 男人, 房间&#10;&#10;描述已自动生成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0" r="8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34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1772" w:rsidRPr="00961772" w:rsidRDefault="00961772" w:rsidP="00961772">
      <w:pPr>
        <w:spacing w:before="156" w:after="156" w:line="360" w:lineRule="auto"/>
        <w:rPr>
          <w:rFonts w:ascii="Times New Roman" w:hAnsi="Times New Roman" w:cs="Times New Roman"/>
          <w:b/>
          <w:bCs/>
          <w:color w:val="000000" w:themeColor="text1"/>
          <w:kern w:val="0"/>
          <w:szCs w:val="21"/>
        </w:rPr>
      </w:pPr>
      <w:proofErr w:type="gramStart"/>
      <w:r w:rsidRPr="00961772">
        <w:rPr>
          <w:rFonts w:ascii="Times New Roman" w:hAnsi="Times New Roman" w:cs="Times New Roman"/>
          <w:b/>
          <w:bCs/>
          <w:color w:val="000000" w:themeColor="text1"/>
          <w:kern w:val="0"/>
          <w:szCs w:val="21"/>
        </w:rPr>
        <w:t>Supplementary Fig.</w:t>
      </w:r>
      <w:proofErr w:type="gramEnd"/>
      <w:r w:rsidRPr="00961772">
        <w:rPr>
          <w:rFonts w:ascii="Times New Roman" w:hAnsi="Times New Roman" w:cs="Times New Roman"/>
          <w:b/>
          <w:bCs/>
          <w:color w:val="000000" w:themeColor="text1"/>
          <w:kern w:val="0"/>
          <w:szCs w:val="21"/>
        </w:rPr>
        <w:t xml:space="preserve"> S1 </w:t>
      </w:r>
      <w:r w:rsidRPr="00961772">
        <w:rPr>
          <w:rFonts w:ascii="Times New Roman" w:hAnsi="Times New Roman" w:cs="Times New Roman"/>
          <w:bCs/>
          <w:color w:val="000000" w:themeColor="text1"/>
          <w:kern w:val="0"/>
          <w:szCs w:val="21"/>
        </w:rPr>
        <w:t>Relationship between optical density and IgG titers.</w:t>
      </w:r>
    </w:p>
    <w:p w:rsidR="000741BA" w:rsidRPr="007E755E" w:rsidRDefault="000741BA" w:rsidP="00961772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color w:val="000000" w:themeColor="text1"/>
          <w:sz w:val="22"/>
        </w:rPr>
      </w:pPr>
    </w:p>
    <w:sectPr w:rsidR="000741BA" w:rsidRPr="007E755E" w:rsidSect="00901183">
      <w:pgSz w:w="11907" w:h="15593" w:code="1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4C9" w:rsidRDefault="004E34C9" w:rsidP="000761B5">
      <w:r>
        <w:separator/>
      </w:r>
    </w:p>
  </w:endnote>
  <w:endnote w:type="continuationSeparator" w:id="0">
    <w:p w:rsidR="004E34C9" w:rsidRDefault="004E34C9" w:rsidP="0007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1D" w:rsidRPr="007E755E" w:rsidRDefault="006C161D">
    <w:pPr>
      <w:pStyle w:val="a5"/>
      <w:rPr>
        <w:rFonts w:ascii="Times New Roman" w:hAnsi="Times New Roman" w:cs="Times New Roman"/>
      </w:rPr>
    </w:pPr>
    <w:r w:rsidRPr="007E755E">
      <w:rPr>
        <w:rFonts w:ascii="Times New Roman" w:hAnsi="Times New Roman" w:cs="Times New Roman"/>
      </w:rPr>
      <w:ptab w:relativeTo="margin" w:alignment="center" w:leader="none"/>
    </w:r>
    <w:r w:rsidRPr="007E755E">
      <w:rPr>
        <w:rFonts w:ascii="Times New Roman" w:hAnsi="Times New Roman" w:cs="Times New Roman"/>
      </w:rPr>
      <w:ptab w:relativeTo="margin" w:alignment="right" w:leader="none"/>
    </w:r>
    <w:r w:rsidRPr="007E755E">
      <w:rPr>
        <w:rFonts w:ascii="Times New Roman" w:hAnsi="Times New Roman" w:cs="Times New Roman"/>
      </w:rPr>
      <w:t>www.virosin.org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4C9" w:rsidRDefault="004E34C9" w:rsidP="000761B5">
      <w:r>
        <w:separator/>
      </w:r>
    </w:p>
  </w:footnote>
  <w:footnote w:type="continuationSeparator" w:id="0">
    <w:p w:rsidR="004E34C9" w:rsidRDefault="004E34C9" w:rsidP="0007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477648756"/>
      <w:docPartObj>
        <w:docPartGallery w:val="Page Numbers (Top of Page)"/>
        <w:docPartUnique/>
      </w:docPartObj>
    </w:sdtPr>
    <w:sdtEndPr/>
    <w:sdtContent>
      <w:p w:rsidR="00B83CC5" w:rsidRPr="007E755E" w:rsidRDefault="00B83CC5">
        <w:pPr>
          <w:pStyle w:val="a4"/>
          <w:jc w:val="right"/>
          <w:rPr>
            <w:rFonts w:ascii="Times New Roman" w:hAnsi="Times New Roman" w:cs="Times New Roman"/>
          </w:rPr>
        </w:pPr>
        <w:r w:rsidRPr="007E755E">
          <w:rPr>
            <w:rFonts w:ascii="Times New Roman" w:hAnsi="Times New Roman" w:cs="Times New Roman"/>
            <w:lang w:val="zh-CN"/>
          </w:rPr>
          <w:t xml:space="preserve"> </w:t>
        </w:r>
        <w:r w:rsidRPr="007E755E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7E755E">
          <w:rPr>
            <w:rFonts w:ascii="Times New Roman" w:hAnsi="Times New Roman" w:cs="Times New Roman"/>
            <w:b/>
            <w:bCs/>
          </w:rPr>
          <w:instrText>PAGE</w:instrText>
        </w:r>
        <w:r w:rsidRPr="007E755E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961772">
          <w:rPr>
            <w:rFonts w:ascii="Times New Roman" w:hAnsi="Times New Roman" w:cs="Times New Roman"/>
            <w:b/>
            <w:bCs/>
            <w:noProof/>
          </w:rPr>
          <w:t>5</w:t>
        </w:r>
        <w:r w:rsidRPr="007E755E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7E755E">
          <w:rPr>
            <w:rFonts w:ascii="Times New Roman" w:hAnsi="Times New Roman" w:cs="Times New Roman"/>
            <w:lang w:val="zh-CN"/>
          </w:rPr>
          <w:t xml:space="preserve"> / </w:t>
        </w:r>
        <w:r w:rsidRPr="007E755E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7E755E">
          <w:rPr>
            <w:rFonts w:ascii="Times New Roman" w:hAnsi="Times New Roman" w:cs="Times New Roman"/>
            <w:b/>
            <w:bCs/>
          </w:rPr>
          <w:instrText>NUMPAGES</w:instrText>
        </w:r>
        <w:r w:rsidRPr="007E755E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961772">
          <w:rPr>
            <w:rFonts w:ascii="Times New Roman" w:hAnsi="Times New Roman" w:cs="Times New Roman"/>
            <w:b/>
            <w:bCs/>
            <w:noProof/>
          </w:rPr>
          <w:t>6</w:t>
        </w:r>
        <w:r w:rsidRPr="007E755E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:rsidR="006C161D" w:rsidRPr="007E755E" w:rsidRDefault="006C161D" w:rsidP="000F7652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03F49"/>
    <w:multiLevelType w:val="hybridMultilevel"/>
    <w:tmpl w:val="2660948C"/>
    <w:lvl w:ilvl="0" w:tplc="9384D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8F"/>
    <w:rsid w:val="00004C8A"/>
    <w:rsid w:val="000315CF"/>
    <w:rsid w:val="00034E9D"/>
    <w:rsid w:val="00044E0A"/>
    <w:rsid w:val="00060E2A"/>
    <w:rsid w:val="000741BA"/>
    <w:rsid w:val="000761B5"/>
    <w:rsid w:val="000943EE"/>
    <w:rsid w:val="000C3778"/>
    <w:rsid w:val="000C76E7"/>
    <w:rsid w:val="000F2C45"/>
    <w:rsid w:val="000F7652"/>
    <w:rsid w:val="001124A5"/>
    <w:rsid w:val="001262A2"/>
    <w:rsid w:val="00133747"/>
    <w:rsid w:val="00134DEF"/>
    <w:rsid w:val="001730CE"/>
    <w:rsid w:val="001F1430"/>
    <w:rsid w:val="00220A80"/>
    <w:rsid w:val="00287717"/>
    <w:rsid w:val="002B1CF8"/>
    <w:rsid w:val="002C606F"/>
    <w:rsid w:val="002C7155"/>
    <w:rsid w:val="002F3259"/>
    <w:rsid w:val="00305A7D"/>
    <w:rsid w:val="0033661A"/>
    <w:rsid w:val="0033669D"/>
    <w:rsid w:val="003549E2"/>
    <w:rsid w:val="003640FA"/>
    <w:rsid w:val="00380160"/>
    <w:rsid w:val="00390CFB"/>
    <w:rsid w:val="003B4CD7"/>
    <w:rsid w:val="003B717A"/>
    <w:rsid w:val="003D275B"/>
    <w:rsid w:val="003E3A2D"/>
    <w:rsid w:val="003F4281"/>
    <w:rsid w:val="0040198D"/>
    <w:rsid w:val="00413E21"/>
    <w:rsid w:val="00416AE9"/>
    <w:rsid w:val="004474B2"/>
    <w:rsid w:val="004922CD"/>
    <w:rsid w:val="0049234C"/>
    <w:rsid w:val="004950A7"/>
    <w:rsid w:val="004A0D41"/>
    <w:rsid w:val="004D1CBE"/>
    <w:rsid w:val="004E34C9"/>
    <w:rsid w:val="005535A8"/>
    <w:rsid w:val="00557BF9"/>
    <w:rsid w:val="00574E07"/>
    <w:rsid w:val="005867D3"/>
    <w:rsid w:val="005903A3"/>
    <w:rsid w:val="005F6358"/>
    <w:rsid w:val="005F71D7"/>
    <w:rsid w:val="00621CC1"/>
    <w:rsid w:val="0063627C"/>
    <w:rsid w:val="00666DF0"/>
    <w:rsid w:val="006802B5"/>
    <w:rsid w:val="00690419"/>
    <w:rsid w:val="006958AC"/>
    <w:rsid w:val="006A4E4F"/>
    <w:rsid w:val="006B388B"/>
    <w:rsid w:val="006C161D"/>
    <w:rsid w:val="006D40A3"/>
    <w:rsid w:val="00713212"/>
    <w:rsid w:val="00724C5C"/>
    <w:rsid w:val="00742D73"/>
    <w:rsid w:val="0074608F"/>
    <w:rsid w:val="0079747E"/>
    <w:rsid w:val="007C04FE"/>
    <w:rsid w:val="007E755E"/>
    <w:rsid w:val="007F37AB"/>
    <w:rsid w:val="00826951"/>
    <w:rsid w:val="008358B6"/>
    <w:rsid w:val="00846C15"/>
    <w:rsid w:val="008C11A2"/>
    <w:rsid w:val="008D24B4"/>
    <w:rsid w:val="00901183"/>
    <w:rsid w:val="00910C8E"/>
    <w:rsid w:val="00917D48"/>
    <w:rsid w:val="00920E36"/>
    <w:rsid w:val="0092208C"/>
    <w:rsid w:val="00933F58"/>
    <w:rsid w:val="009579F2"/>
    <w:rsid w:val="00961772"/>
    <w:rsid w:val="00983022"/>
    <w:rsid w:val="009C2CDE"/>
    <w:rsid w:val="00A0200A"/>
    <w:rsid w:val="00A22772"/>
    <w:rsid w:val="00A23F74"/>
    <w:rsid w:val="00A24D57"/>
    <w:rsid w:val="00A46CDF"/>
    <w:rsid w:val="00A5110E"/>
    <w:rsid w:val="00AA4A06"/>
    <w:rsid w:val="00AB7513"/>
    <w:rsid w:val="00B104D8"/>
    <w:rsid w:val="00B65155"/>
    <w:rsid w:val="00B65A68"/>
    <w:rsid w:val="00B83CC5"/>
    <w:rsid w:val="00B92AE2"/>
    <w:rsid w:val="00BE753B"/>
    <w:rsid w:val="00C11B76"/>
    <w:rsid w:val="00C21DD2"/>
    <w:rsid w:val="00C64BA2"/>
    <w:rsid w:val="00C84788"/>
    <w:rsid w:val="00CD603D"/>
    <w:rsid w:val="00CE7341"/>
    <w:rsid w:val="00D16FC1"/>
    <w:rsid w:val="00D33D0C"/>
    <w:rsid w:val="00D50629"/>
    <w:rsid w:val="00D71597"/>
    <w:rsid w:val="00DB774C"/>
    <w:rsid w:val="00DC1749"/>
    <w:rsid w:val="00DC5B1F"/>
    <w:rsid w:val="00E01202"/>
    <w:rsid w:val="00E264F4"/>
    <w:rsid w:val="00E36CDD"/>
    <w:rsid w:val="00E55619"/>
    <w:rsid w:val="00E90386"/>
    <w:rsid w:val="00EC4D24"/>
    <w:rsid w:val="00ED398D"/>
    <w:rsid w:val="00ED74DC"/>
    <w:rsid w:val="00EE0831"/>
    <w:rsid w:val="00F343DF"/>
    <w:rsid w:val="00F736AF"/>
    <w:rsid w:val="00F9726C"/>
    <w:rsid w:val="00FA3907"/>
    <w:rsid w:val="00F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608F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4608F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rsid w:val="000761B5"/>
    <w:rPr>
      <w:kern w:val="2"/>
      <w:sz w:val="21"/>
    </w:rPr>
  </w:style>
  <w:style w:type="paragraph" w:styleId="a5">
    <w:name w:val="footer"/>
    <w:basedOn w:val="a"/>
    <w:link w:val="Char1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rsid w:val="000761B5"/>
    <w:rPr>
      <w:kern w:val="2"/>
      <w:sz w:val="21"/>
    </w:rPr>
  </w:style>
  <w:style w:type="character" w:styleId="a6">
    <w:name w:val="annotation reference"/>
    <w:basedOn w:val="a0"/>
    <w:unhideWhenUsed/>
    <w:qFormat/>
    <w:rsid w:val="00134DEF"/>
    <w:rPr>
      <w:sz w:val="16"/>
      <w:szCs w:val="16"/>
    </w:rPr>
  </w:style>
  <w:style w:type="table" w:styleId="a7">
    <w:name w:val="Table Grid"/>
    <w:basedOn w:val="a1"/>
    <w:uiPriority w:val="59"/>
    <w:qFormat/>
    <w:rsid w:val="00134DEF"/>
    <w:pPr>
      <w:spacing w:after="0" w:line="240" w:lineRule="auto"/>
    </w:pPr>
    <w:rPr>
      <w:szCs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Char2"/>
    <w:uiPriority w:val="99"/>
    <w:semiHidden/>
    <w:unhideWhenUsed/>
    <w:rsid w:val="00BE753B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BE753B"/>
    <w:rPr>
      <w:kern w:val="2"/>
      <w:sz w:val="21"/>
    </w:rPr>
  </w:style>
  <w:style w:type="paragraph" w:styleId="a9">
    <w:name w:val="Body Text First Indent"/>
    <w:basedOn w:val="a"/>
    <w:link w:val="Char3"/>
    <w:rsid w:val="00BE753B"/>
    <w:pPr>
      <w:ind w:firstLineChars="200" w:firstLine="498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首行缩进 Char"/>
    <w:basedOn w:val="Char2"/>
    <w:link w:val="a9"/>
    <w:rsid w:val="00BE753B"/>
    <w:rPr>
      <w:rFonts w:ascii="Times New Roman" w:eastAsia="宋体" w:hAnsi="Times New Roman" w:cs="Times New Roman"/>
      <w:kern w:val="2"/>
      <w:sz w:val="24"/>
      <w:szCs w:val="20"/>
    </w:rPr>
  </w:style>
  <w:style w:type="paragraph" w:styleId="aa">
    <w:name w:val="List Paragraph"/>
    <w:basedOn w:val="a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0"/>
    <w:rsid w:val="000F7652"/>
    <w:pPr>
      <w:spacing w:line="480" w:lineRule="auto"/>
      <w:jc w:val="left"/>
    </w:pPr>
    <w:rPr>
      <w:rFonts w:ascii="Times New Roman" w:eastAsia="等线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等线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608F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4608F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rsid w:val="000761B5"/>
    <w:rPr>
      <w:kern w:val="2"/>
      <w:sz w:val="21"/>
    </w:rPr>
  </w:style>
  <w:style w:type="paragraph" w:styleId="a5">
    <w:name w:val="footer"/>
    <w:basedOn w:val="a"/>
    <w:link w:val="Char1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rsid w:val="000761B5"/>
    <w:rPr>
      <w:kern w:val="2"/>
      <w:sz w:val="21"/>
    </w:rPr>
  </w:style>
  <w:style w:type="character" w:styleId="a6">
    <w:name w:val="annotation reference"/>
    <w:basedOn w:val="a0"/>
    <w:unhideWhenUsed/>
    <w:qFormat/>
    <w:rsid w:val="00134DEF"/>
    <w:rPr>
      <w:sz w:val="16"/>
      <w:szCs w:val="16"/>
    </w:rPr>
  </w:style>
  <w:style w:type="table" w:styleId="a7">
    <w:name w:val="Table Grid"/>
    <w:basedOn w:val="a1"/>
    <w:uiPriority w:val="59"/>
    <w:qFormat/>
    <w:rsid w:val="00134DEF"/>
    <w:pPr>
      <w:spacing w:after="0" w:line="240" w:lineRule="auto"/>
    </w:pPr>
    <w:rPr>
      <w:szCs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Char2"/>
    <w:uiPriority w:val="99"/>
    <w:semiHidden/>
    <w:unhideWhenUsed/>
    <w:rsid w:val="00BE753B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BE753B"/>
    <w:rPr>
      <w:kern w:val="2"/>
      <w:sz w:val="21"/>
    </w:rPr>
  </w:style>
  <w:style w:type="paragraph" w:styleId="a9">
    <w:name w:val="Body Text First Indent"/>
    <w:basedOn w:val="a"/>
    <w:link w:val="Char3"/>
    <w:rsid w:val="00BE753B"/>
    <w:pPr>
      <w:ind w:firstLineChars="200" w:firstLine="498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首行缩进 Char"/>
    <w:basedOn w:val="Char2"/>
    <w:link w:val="a9"/>
    <w:rsid w:val="00BE753B"/>
    <w:rPr>
      <w:rFonts w:ascii="Times New Roman" w:eastAsia="宋体" w:hAnsi="Times New Roman" w:cs="Times New Roman"/>
      <w:kern w:val="2"/>
      <w:sz w:val="24"/>
      <w:szCs w:val="20"/>
    </w:rPr>
  </w:style>
  <w:style w:type="paragraph" w:styleId="aa">
    <w:name w:val="List Paragraph"/>
    <w:basedOn w:val="a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0"/>
    <w:rsid w:val="000F7652"/>
    <w:pPr>
      <w:spacing w:line="480" w:lineRule="auto"/>
      <w:jc w:val="left"/>
    </w:pPr>
    <w:rPr>
      <w:rFonts w:ascii="Times New Roman" w:eastAsia="等线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等线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905</Words>
  <Characters>5162</Characters>
  <Application>Microsoft Office Word</Application>
  <DocSecurity>0</DocSecurity>
  <Lines>43</Lines>
  <Paragraphs>12</Paragraphs>
  <ScaleCrop>false</ScaleCrop>
  <Company>whiov</Company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hu</cp:lastModifiedBy>
  <cp:revision>3</cp:revision>
  <cp:lastPrinted>2021-10-14T07:09:00Z</cp:lastPrinted>
  <dcterms:created xsi:type="dcterms:W3CDTF">2022-03-30T10:15:00Z</dcterms:created>
  <dcterms:modified xsi:type="dcterms:W3CDTF">2022-03-30T10:18:00Z</dcterms:modified>
</cp:coreProperties>
</file>