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C7B9F" w:rsidRDefault="000C0320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sz w:val="30"/>
          <w:szCs w:val="30"/>
        </w:rPr>
        <w:t>A serologic investigation of epizootic hemorrhagic disease virus in China between 2014 and 2019</w:t>
      </w:r>
    </w:p>
    <w:p w:rsidR="0092208C" w:rsidRPr="00BC7B9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34F9B" w:rsidRPr="00BC7B9F" w:rsidRDefault="000C0320" w:rsidP="00634F9B">
      <w:pPr>
        <w:suppressAutoHyphens/>
        <w:jc w:val="left"/>
        <w:rPr>
          <w:rFonts w:ascii="Times New Roman" w:hAnsi="Times New Roman" w:cs="Times New Roman"/>
          <w:b/>
          <w:bCs/>
          <w:szCs w:val="21"/>
        </w:rPr>
      </w:pPr>
      <w:proofErr w:type="spellStart"/>
      <w:r w:rsidRPr="00BC7B9F">
        <w:rPr>
          <w:rFonts w:ascii="Times New Roman" w:hAnsi="Times New Roman" w:cs="Times New Roman"/>
          <w:b/>
          <w:bCs/>
          <w:szCs w:val="21"/>
        </w:rPr>
        <w:t>Yingliang</w:t>
      </w:r>
      <w:proofErr w:type="spellEnd"/>
      <w:r w:rsidRPr="00BC7B9F">
        <w:rPr>
          <w:rFonts w:ascii="Times New Roman" w:hAnsi="Times New Roman" w:cs="Times New Roman"/>
          <w:b/>
          <w:bCs/>
          <w:szCs w:val="21"/>
        </w:rPr>
        <w:t xml:space="preserve"> Duan</w:t>
      </w:r>
      <w:r w:rsidRPr="00BC7B9F">
        <w:rPr>
          <w:rFonts w:ascii="Times New Roman" w:hAnsi="Times New Roman" w:cs="Times New Roman"/>
          <w:b/>
          <w:bCs/>
          <w:szCs w:val="21"/>
          <w:vertAlign w:val="superscript"/>
        </w:rPr>
        <w:t>1</w:t>
      </w:r>
      <w:r w:rsidRPr="00BC7B9F">
        <w:rPr>
          <w:rFonts w:ascii="Times New Roman" w:hAnsi="Times New Roman" w:cs="Times New Roman"/>
          <w:b/>
          <w:bCs/>
          <w:szCs w:val="21"/>
        </w:rPr>
        <w:t xml:space="preserve">, </w:t>
      </w:r>
      <w:proofErr w:type="spellStart"/>
      <w:r w:rsidRPr="00BC7B9F">
        <w:rPr>
          <w:rFonts w:ascii="Times New Roman" w:hAnsi="Times New Roman" w:cs="Times New Roman"/>
          <w:b/>
          <w:bCs/>
          <w:szCs w:val="21"/>
        </w:rPr>
        <w:t>Zhenxing</w:t>
      </w:r>
      <w:proofErr w:type="spellEnd"/>
      <w:r w:rsidRPr="00BC7B9F">
        <w:rPr>
          <w:rFonts w:ascii="Times New Roman" w:hAnsi="Times New Roman" w:cs="Times New Roman"/>
          <w:b/>
          <w:bCs/>
          <w:szCs w:val="21"/>
        </w:rPr>
        <w:t xml:space="preserve"> Yang</w:t>
      </w:r>
      <w:r w:rsidRPr="00BC7B9F">
        <w:rPr>
          <w:rFonts w:ascii="Times New Roman" w:hAnsi="Times New Roman" w:cs="Times New Roman"/>
          <w:b/>
          <w:bCs/>
          <w:szCs w:val="21"/>
          <w:vertAlign w:val="superscript"/>
        </w:rPr>
        <w:t>1</w:t>
      </w:r>
      <w:r w:rsidRPr="00BC7B9F">
        <w:rPr>
          <w:rFonts w:ascii="Times New Roman" w:hAnsi="Times New Roman" w:cs="Times New Roman"/>
          <w:b/>
          <w:bCs/>
          <w:szCs w:val="21"/>
        </w:rPr>
        <w:t xml:space="preserve">, Pei Zhu, Lei Xiao, </w:t>
      </w:r>
      <w:proofErr w:type="spellStart"/>
      <w:r w:rsidRPr="00BC7B9F">
        <w:rPr>
          <w:rFonts w:ascii="Times New Roman" w:hAnsi="Times New Roman" w:cs="Times New Roman"/>
          <w:b/>
          <w:bCs/>
          <w:szCs w:val="21"/>
        </w:rPr>
        <w:t>Zhanhong</w:t>
      </w:r>
      <w:proofErr w:type="spellEnd"/>
      <w:r w:rsidRPr="00BC7B9F">
        <w:rPr>
          <w:rFonts w:ascii="Times New Roman" w:hAnsi="Times New Roman" w:cs="Times New Roman"/>
          <w:b/>
          <w:bCs/>
          <w:szCs w:val="21"/>
        </w:rPr>
        <w:t xml:space="preserve"> Li, </w:t>
      </w:r>
      <w:proofErr w:type="spellStart"/>
      <w:r w:rsidRPr="00BC7B9F">
        <w:rPr>
          <w:rFonts w:ascii="Times New Roman" w:hAnsi="Times New Roman" w:cs="Times New Roman"/>
          <w:b/>
          <w:bCs/>
          <w:szCs w:val="21"/>
        </w:rPr>
        <w:t>Zhuoran</w:t>
      </w:r>
      <w:proofErr w:type="spellEnd"/>
      <w:r w:rsidRPr="00BC7B9F">
        <w:rPr>
          <w:rFonts w:ascii="Times New Roman" w:hAnsi="Times New Roman" w:cs="Times New Roman"/>
          <w:b/>
          <w:bCs/>
          <w:szCs w:val="21"/>
        </w:rPr>
        <w:t xml:space="preserve"> Li, Le Li, </w:t>
      </w:r>
      <w:proofErr w:type="spellStart"/>
      <w:r w:rsidRPr="00BC7B9F">
        <w:rPr>
          <w:rFonts w:ascii="Times New Roman" w:hAnsi="Times New Roman" w:cs="Times New Roman"/>
          <w:b/>
          <w:bCs/>
          <w:szCs w:val="21"/>
        </w:rPr>
        <w:t>Jianbo</w:t>
      </w:r>
      <w:proofErr w:type="spellEnd"/>
      <w:r w:rsidRPr="00BC7B9F">
        <w:rPr>
          <w:rFonts w:ascii="Times New Roman" w:hAnsi="Times New Roman" w:cs="Times New Roman"/>
          <w:b/>
          <w:bCs/>
          <w:szCs w:val="21"/>
        </w:rPr>
        <w:t xml:space="preserve"> Zhu</w:t>
      </w:r>
      <w:r w:rsidRPr="00BC7B9F">
        <w:rPr>
          <w:rFonts w:ascii="Times New Roman" w:hAnsi="Times New Roman" w:cs="Times New Roman"/>
          <w:b/>
          <w:bCs/>
          <w:szCs w:val="21"/>
          <w:vertAlign w:val="superscript"/>
        </w:rPr>
        <w:t>*</w:t>
      </w:r>
    </w:p>
    <w:p w:rsidR="00551E70" w:rsidRPr="00BC7B9F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C7B9F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413E21" w:rsidRPr="00BC7B9F" w:rsidRDefault="000C0320" w:rsidP="00634F9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Yunnan Tropical and Subtropical Animal Virus Diseases Laboratory, Yunnan Animal Science and Veterinary Institute, Kunming, 650000, China</w:t>
      </w:r>
    </w:p>
    <w:p w:rsidR="000741BA" w:rsidRPr="00BC7B9F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C7B9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*</w:t>
      </w:r>
      <w:r w:rsidRPr="00BC7B9F">
        <w:rPr>
          <w:rFonts w:ascii="Times New Roman" w:hAnsi="Times New Roman" w:cs="Times New Roman"/>
          <w:szCs w:val="21"/>
        </w:rPr>
        <w:t xml:space="preserve"> Corresponding author. </w:t>
      </w:r>
    </w:p>
    <w:p w:rsidR="002C606F" w:rsidRPr="00BC7B9F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E-mail addresses</w:t>
      </w:r>
      <w:r w:rsidRPr="00BC7B9F">
        <w:rPr>
          <w:rFonts w:ascii="Times New Roman" w:hAnsi="Times New Roman" w:cs="Times New Roman"/>
          <w:szCs w:val="21"/>
        </w:rPr>
        <w:t xml:space="preserve">: </w:t>
      </w:r>
      <w:r w:rsidR="000C0320" w:rsidRPr="00BC7B9F">
        <w:rPr>
          <w:rFonts w:ascii="Times New Roman" w:hAnsi="Times New Roman" w:cs="Times New Roman"/>
          <w:szCs w:val="21"/>
        </w:rPr>
        <w:t>zhujb70@126.com (J. Zhu)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C7B9F" w:rsidRDefault="00DE5AC2" w:rsidP="00DE5AC2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1</w:t>
      </w:r>
      <w:r w:rsidRPr="00BC7B9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0C0320" w:rsidRPr="00BC7B9F">
        <w:rPr>
          <w:rFonts w:ascii="Times New Roman" w:hAnsi="Times New Roman" w:cs="Times New Roman"/>
          <w:szCs w:val="21"/>
        </w:rPr>
        <w:t>Yingliang</w:t>
      </w:r>
      <w:proofErr w:type="spellEnd"/>
      <w:r w:rsidR="000C0320" w:rsidRPr="00BC7B9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0C0320" w:rsidRPr="00BC7B9F">
        <w:rPr>
          <w:rFonts w:ascii="Times New Roman" w:hAnsi="Times New Roman" w:cs="Times New Roman"/>
          <w:szCs w:val="21"/>
        </w:rPr>
        <w:t>Duan</w:t>
      </w:r>
      <w:proofErr w:type="spellEnd"/>
      <w:r w:rsidR="000C0320" w:rsidRPr="00BC7B9F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="000C0320" w:rsidRPr="00BC7B9F">
        <w:rPr>
          <w:rFonts w:ascii="Times New Roman" w:hAnsi="Times New Roman" w:cs="Times New Roman"/>
          <w:szCs w:val="21"/>
        </w:rPr>
        <w:t>Zhenxing</w:t>
      </w:r>
      <w:proofErr w:type="spellEnd"/>
      <w:r w:rsidR="000C0320" w:rsidRPr="00BC7B9F">
        <w:rPr>
          <w:rFonts w:ascii="Times New Roman" w:hAnsi="Times New Roman" w:cs="Times New Roman"/>
          <w:szCs w:val="21"/>
        </w:rPr>
        <w:t xml:space="preserve"> Yang</w:t>
      </w:r>
      <w:r w:rsidR="00634F9B" w:rsidRPr="00BC7B9F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634F9B" w:rsidRPr="00BC7B9F" w:rsidRDefault="00634F9B" w:rsidP="00634F9B">
      <w:pPr>
        <w:suppressAutoHyphens/>
        <w:spacing w:line="360" w:lineRule="auto"/>
        <w:rPr>
          <w:rFonts w:ascii="Times New Roman" w:hAnsi="Times New Roman" w:cs="Times New Roman"/>
          <w:b/>
          <w:sz w:val="22"/>
        </w:rPr>
      </w:pPr>
      <w:r w:rsidRPr="00BC7B9F">
        <w:rPr>
          <w:rFonts w:ascii="Times New Roman" w:hAnsi="Times New Roman" w:cs="Times New Roman"/>
          <w:b/>
          <w:sz w:val="22"/>
        </w:rPr>
        <w:lastRenderedPageBreak/>
        <w:t>Supplementary data</w:t>
      </w:r>
    </w:p>
    <w:p w:rsidR="00BC7B9F" w:rsidRPr="00BC7B9F" w:rsidRDefault="00BC7B9F" w:rsidP="00BC7B9F">
      <w:pPr>
        <w:spacing w:line="360" w:lineRule="auto"/>
        <w:rPr>
          <w:rFonts w:ascii="Times New Roman" w:hAnsi="Times New Roman" w:cs="Times New Roman"/>
        </w:rPr>
      </w:pPr>
      <w:r w:rsidRPr="00BC7B9F">
        <w:rPr>
          <w:rFonts w:ascii="Times New Roman" w:hAnsi="Times New Roman" w:cs="Times New Roman"/>
          <w:b/>
        </w:rPr>
        <w:t>Supplementary Table S1</w:t>
      </w:r>
      <w:r w:rsidRPr="00BC7B9F">
        <w:rPr>
          <w:rFonts w:ascii="Times New Roman" w:hAnsi="Times New Roman" w:cs="Times New Roman"/>
        </w:rPr>
        <w:t xml:space="preserve"> </w:t>
      </w:r>
      <w:proofErr w:type="spellStart"/>
      <w:r w:rsidRPr="00BC7B9F">
        <w:rPr>
          <w:rFonts w:ascii="Times New Roman" w:hAnsi="Times New Roman" w:cs="Times New Roman"/>
        </w:rPr>
        <w:t>Seroprevalence</w:t>
      </w:r>
      <w:proofErr w:type="spellEnd"/>
      <w:r w:rsidRPr="00BC7B9F">
        <w:rPr>
          <w:rFonts w:ascii="Times New Roman" w:hAnsi="Times New Roman" w:cs="Times New Roman"/>
        </w:rPr>
        <w:t xml:space="preserve"> of EHDV in all tested bovines, goats/sheep, and deer from 15 provinces in China between 2014 and 2019.</w:t>
      </w:r>
    </w:p>
    <w:tbl>
      <w:tblPr>
        <w:tblW w:w="140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145"/>
        <w:gridCol w:w="1417"/>
        <w:gridCol w:w="1518"/>
        <w:gridCol w:w="1509"/>
        <w:gridCol w:w="1875"/>
        <w:gridCol w:w="1611"/>
        <w:gridCol w:w="1639"/>
        <w:gridCol w:w="1892"/>
      </w:tblGrid>
      <w:tr w:rsidR="00BC7B9F" w:rsidRPr="00BC7B9F" w:rsidTr="002B26B8">
        <w:trPr>
          <w:tblHeader/>
          <w:jc w:val="center"/>
        </w:trPr>
        <w:tc>
          <w:tcPr>
            <w:tcW w:w="1462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Province</w:t>
            </w:r>
          </w:p>
        </w:tc>
        <w:tc>
          <w:tcPr>
            <w:tcW w:w="1145" w:type="dxa"/>
            <w:tcBorders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Animal</w:t>
            </w:r>
          </w:p>
        </w:tc>
        <w:tc>
          <w:tcPr>
            <w:tcW w:w="11461" w:type="dxa"/>
            <w:gridSpan w:val="7"/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Seroposi</w:t>
            </w:r>
            <w:bookmarkStart w:id="0" w:name="_GoBack"/>
            <w:bookmarkEnd w:id="0"/>
            <w:r w:rsidRPr="00BC7B9F">
              <w:rPr>
                <w:rFonts w:ascii="Times New Roman" w:hAnsi="Times New Roman" w:cs="Times New Roman"/>
                <w:b/>
              </w:rPr>
              <w:t>tive rate (positive samples/total samples)</w:t>
            </w:r>
          </w:p>
        </w:tc>
      </w:tr>
      <w:tr w:rsidR="00BC7B9F" w:rsidRPr="00BC7B9F" w:rsidTr="002B26B8">
        <w:trPr>
          <w:tblHeader/>
          <w:jc w:val="center"/>
        </w:trPr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Chongqing</w:t>
            </w:r>
          </w:p>
        </w:tc>
        <w:tc>
          <w:tcPr>
            <w:tcW w:w="1145" w:type="dxa"/>
            <w:tcBorders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(0/20)</w:t>
            </w:r>
          </w:p>
        </w:tc>
        <w:tc>
          <w:tcPr>
            <w:tcW w:w="1875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13.6% (19/140)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39.2% (98/250)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37.8% (51/135)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30.8% (168/545)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4.3% (15/350)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4.3% (15/350)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Guangdong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41.2% (91/221)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62.9% (188/299)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62.7% (106/169)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83.3% (155/186)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58.2% (64/110)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61.3% (604/985)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(0/12)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(0/9)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(0/21)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Guangxi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53.5% (83/155)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46.2% (49/106)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58.6% (85/145)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88.8% (135/152)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63.1% (352/558)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1.3% (1/75)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13.4% (19/142)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9.7% (17/176)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9.4% (37/393)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proofErr w:type="spellStart"/>
            <w:r w:rsidRPr="00BC7B9F">
              <w:rPr>
                <w:rFonts w:ascii="Times New Roman" w:hAnsi="Times New Roman" w:cs="Times New Roman"/>
              </w:rPr>
              <w:t>Guizhou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61.7% (71/115)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67.4% (64/95)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34.5% (38/110)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54.1% (173/320)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1.9% (5/267)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1.9% (5/267)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Hebei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4.7% (7/150)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1.1% (1/95)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1.0% (1/100)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26.1% (9/345)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(0/182)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0.4% (1/250)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0.2% (1/432)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Hubei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(0/31)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(0/12)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78.7% (144/183)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46.8% (103/220)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55.4% (247/446)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1.1% (2/190)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0.7% (1/140)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8.2% (23/282)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4.2% (26/612)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Inner Mongolia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(0/32)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(0/30)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1.1% (1/90)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6.7% (8/120)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3.3% (9/272)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(0/234)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1.0% (1/100)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0.4% (2/460)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(0/450)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0.9% (4/450)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5.5% (11/200)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1.0% (18/1,894)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Deer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10.0% (1/10)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10.0% (1/10)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Jiangsu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38.0% (19/50)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38.0% (19/50)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(0/10)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(0/10)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Jilin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3.0% (3/100)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(0/160)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(0/120)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0.8% (3/380)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(0/388)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(0/388)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Liaoning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2.7% (6/220)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2.7% (6/220)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(0/115)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(0/115)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Shanxi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0.3% (1/292)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1.2% (4/333)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9.7% (30/309)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3.7% (35/934)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(0/40)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2.6% (6/228)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2.2% (6/268)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Sichuan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68.0% (51/75)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68.0% (51/75)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2.6% (4/156)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2.6% (4/156)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Tibet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(0/107)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(0/240)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(0/347)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Xinjiang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2.1% (8/390)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(0/697)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(0/105)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1.7% (3/178)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4.6% (9/196)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1.3% (20/1,566)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(0/10)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2.1% (6/285)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(0/16)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5.0% (1/20)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1.7% (10/576)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1.9% (17/907)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Yunnan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37.5% (150/400)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2.5% (3/119)*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90.2% (2,489/2,759)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55.4% (314/567)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82.8% (622/751)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77.9% (3,578/4,596)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0.0% (0/150)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11.4% (4/35)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8.0% (2/25)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6.0% (18/300)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19.3% (29/150)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8.0% (53/660)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40.1% (324/808)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22.7% (265/1,167)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8.3% (113/1,369)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66.2% (2831/4,278)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36.6% (774/2,113)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50.8% (967/1,904)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45.3% (5,274/11,639)</w:t>
            </w:r>
          </w:p>
        </w:tc>
      </w:tr>
      <w:tr w:rsidR="00BC7B9F" w:rsidRPr="00BC7B9F" w:rsidTr="002B26B8">
        <w:trPr>
          <w:jc w:val="center"/>
        </w:trPr>
        <w:tc>
          <w:tcPr>
            <w:tcW w:w="1462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0.2% (1/471)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7.6% (20/262)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1.4% (14/1,010)</w:t>
            </w: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1.1% (13/1,139)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2.9% (38/1,302)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4.2% (96/2,289)</w:t>
            </w:r>
          </w:p>
        </w:tc>
        <w:tc>
          <w:tcPr>
            <w:tcW w:w="1892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2.8% (182/6,473)</w:t>
            </w:r>
          </w:p>
        </w:tc>
      </w:tr>
    </w:tbl>
    <w:p w:rsidR="00BC7B9F" w:rsidRPr="00BC7B9F" w:rsidRDefault="00BC7B9F" w:rsidP="00BC7B9F">
      <w:pPr>
        <w:spacing w:line="360" w:lineRule="auto"/>
        <w:rPr>
          <w:rFonts w:ascii="Times New Roman" w:hAnsi="Times New Roman" w:cs="Times New Roman"/>
        </w:rPr>
      </w:pPr>
      <w:r w:rsidRPr="00BC7B9F">
        <w:rPr>
          <w:rFonts w:ascii="Times New Roman" w:hAnsi="Times New Roman" w:cs="Times New Roman"/>
          <w:vertAlign w:val="superscript"/>
        </w:rPr>
        <w:t>*</w:t>
      </w:r>
      <w:r w:rsidRPr="00BC7B9F">
        <w:rPr>
          <w:rFonts w:ascii="Times New Roman" w:hAnsi="Times New Roman" w:cs="Times New Roman"/>
        </w:rPr>
        <w:t xml:space="preserve"> These animals include 98 yaks in </w:t>
      </w:r>
      <w:proofErr w:type="spellStart"/>
      <w:r w:rsidRPr="00BC7B9F">
        <w:rPr>
          <w:rFonts w:ascii="Times New Roman" w:hAnsi="Times New Roman" w:cs="Times New Roman"/>
        </w:rPr>
        <w:t>Shangri-la</w:t>
      </w:r>
      <w:proofErr w:type="spellEnd"/>
      <w:r w:rsidRPr="00BC7B9F">
        <w:rPr>
          <w:rFonts w:ascii="Times New Roman" w:hAnsi="Times New Roman" w:cs="Times New Roman"/>
        </w:rPr>
        <w:t>.</w:t>
      </w:r>
    </w:p>
    <w:p w:rsidR="00BC7B9F" w:rsidRPr="00BC7B9F" w:rsidRDefault="00BC7B9F" w:rsidP="00BC7B9F">
      <w:pPr>
        <w:spacing w:line="360" w:lineRule="auto"/>
        <w:rPr>
          <w:rFonts w:ascii="Times New Roman" w:hAnsi="Times New Roman" w:cs="Times New Roman"/>
        </w:rPr>
      </w:pPr>
      <w:proofErr w:type="gramStart"/>
      <w:r w:rsidRPr="00BC7B9F">
        <w:rPr>
          <w:rFonts w:ascii="Times New Roman" w:hAnsi="Times New Roman" w:cs="Times New Roman"/>
          <w:i/>
        </w:rPr>
        <w:t>NA</w:t>
      </w:r>
      <w:r w:rsidRPr="00BC7B9F">
        <w:rPr>
          <w:rFonts w:ascii="Times New Roman" w:hAnsi="Times New Roman" w:cs="Times New Roman"/>
        </w:rPr>
        <w:t>, not available.</w:t>
      </w:r>
      <w:proofErr w:type="gramEnd"/>
    </w:p>
    <w:p w:rsidR="00BC7B9F" w:rsidRPr="00BC7B9F" w:rsidRDefault="00BC7B9F" w:rsidP="00BC7B9F">
      <w:pPr>
        <w:spacing w:line="360" w:lineRule="auto"/>
        <w:rPr>
          <w:rFonts w:ascii="Times New Roman" w:hAnsi="Times New Roman" w:cs="Times New Roman"/>
        </w:rPr>
      </w:pPr>
      <w:r w:rsidRPr="00BC7B9F">
        <w:rPr>
          <w:rFonts w:ascii="Times New Roman" w:hAnsi="Times New Roman" w:cs="Times New Roman"/>
          <w:b/>
        </w:rPr>
        <w:br w:type="page"/>
      </w:r>
      <w:r w:rsidRPr="00BC7B9F">
        <w:rPr>
          <w:rFonts w:ascii="Times New Roman" w:hAnsi="Times New Roman" w:cs="Times New Roman"/>
          <w:b/>
        </w:rPr>
        <w:lastRenderedPageBreak/>
        <w:t>Supplementary Table S2</w:t>
      </w:r>
      <w:r w:rsidRPr="00BC7B9F">
        <w:rPr>
          <w:rFonts w:ascii="Times New Roman" w:hAnsi="Times New Roman" w:cs="Times New Roman"/>
        </w:rPr>
        <w:t xml:space="preserve"> Seropositive rates of the tested groups from 15 provinces in China between 2014 and 2019</w:t>
      </w:r>
    </w:p>
    <w:tbl>
      <w:tblPr>
        <w:tblW w:w="141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084"/>
        <w:gridCol w:w="1566"/>
        <w:gridCol w:w="1729"/>
        <w:gridCol w:w="1729"/>
        <w:gridCol w:w="1729"/>
        <w:gridCol w:w="1729"/>
        <w:gridCol w:w="1729"/>
        <w:gridCol w:w="1729"/>
      </w:tblGrid>
      <w:tr w:rsidR="00BC7B9F" w:rsidRPr="00BC7B9F" w:rsidTr="002B26B8">
        <w:trPr>
          <w:tblHeader/>
        </w:trPr>
        <w:tc>
          <w:tcPr>
            <w:tcW w:w="11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Province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Animal</w:t>
            </w:r>
          </w:p>
        </w:tc>
        <w:tc>
          <w:tcPr>
            <w:tcW w:w="102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Seropositive rate (%) of tested groups, median (95% CI)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C7B9F" w:rsidRPr="00BC7B9F" w:rsidTr="002B26B8">
        <w:trPr>
          <w:tblHeader/>
        </w:trPr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b/>
              </w:rPr>
            </w:pPr>
            <w:r w:rsidRPr="00BC7B9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C7B9F" w:rsidRPr="00BC7B9F" w:rsidTr="002B26B8">
        <w:tc>
          <w:tcPr>
            <w:tcW w:w="1151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Chongqing</w:t>
            </w:r>
          </w:p>
        </w:tc>
        <w:tc>
          <w:tcPr>
            <w:tcW w:w="1084" w:type="dxa"/>
            <w:tcBorders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0.0, n = 1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7.2 (0.0–14.3),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33.5 (24.0–43.0),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26.7 (15.0–51.4),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21.5 (0.0–39.1),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8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Goats/sheep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2.5 (0.0–10.0), 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2.5 (0.0–10.0),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4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Guangdong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C7B9F">
              <w:rPr>
                <w:rFonts w:ascii="Times New Roman" w:hAnsi="Times New Roman" w:cs="Times New Roman"/>
              </w:rPr>
              <w:t>44.1 (10.0–71.7)</w:t>
            </w:r>
            <w:r w:rsidRPr="00BC7B9F">
              <w:rPr>
                <w:rFonts w:ascii="Times New Roman" w:hAnsi="Times New Roman" w:cs="Times New Roman"/>
                <w:lang w:val="en-GB"/>
              </w:rPr>
              <w:t>, n = 12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59.0 (47.5–74.6), </w:t>
            </w:r>
            <w:r w:rsidRPr="00BC7B9F">
              <w:rPr>
                <w:rFonts w:ascii="Times New Roman" w:hAnsi="Times New Roman" w:cs="Times New Roman"/>
              </w:rPr>
              <w:br/>
              <w:t>n = 12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62.5 (55.6–83.3), </w:t>
            </w:r>
            <w:r w:rsidRPr="00BC7B9F">
              <w:rPr>
                <w:rFonts w:ascii="Times New Roman" w:hAnsi="Times New Roman" w:cs="Times New Roman"/>
              </w:rPr>
              <w:br/>
              <w:t>n = 7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80.0 (73.3–100.0), </w:t>
            </w:r>
            <w:r w:rsidRPr="00BC7B9F">
              <w:rPr>
                <w:rFonts w:ascii="Times New Roman" w:hAnsi="Times New Roman" w:cs="Times New Roman"/>
              </w:rPr>
              <w:br/>
              <w:t>n = 7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56.0 (41.6–79.2), </w:t>
            </w:r>
            <w:r w:rsidRPr="00BC7B9F">
              <w:rPr>
                <w:rFonts w:ascii="Times New Roman" w:hAnsi="Times New Roman" w:cs="Times New Roman"/>
              </w:rPr>
              <w:br/>
              <w:t>n = 6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62.9 (51.7–73.8),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44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Guangxi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49 (39.1–79.4), </w:t>
            </w:r>
            <w:r w:rsidRPr="00BC7B9F">
              <w:rPr>
                <w:rFonts w:ascii="Times New Roman" w:hAnsi="Times New Roman" w:cs="Times New Roman"/>
              </w:rPr>
              <w:br/>
              <w:t>n = 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50.0 (38.9–56.3), </w:t>
            </w:r>
            <w:r w:rsidRPr="00BC7B9F">
              <w:rPr>
                <w:rFonts w:ascii="Times New Roman" w:hAnsi="Times New Roman" w:cs="Times New Roman"/>
              </w:rPr>
              <w:br/>
              <w:t>n = 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53.3 (33.3–76.0), </w:t>
            </w:r>
            <w:r w:rsidRPr="00BC7B9F">
              <w:rPr>
                <w:rFonts w:ascii="Times New Roman" w:hAnsi="Times New Roman" w:cs="Times New Roman"/>
              </w:rPr>
              <w:br/>
              <w:t>n = 7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92.5 (80.0–100.0), </w:t>
            </w:r>
            <w:r w:rsidRPr="00BC7B9F">
              <w:rPr>
                <w:rFonts w:ascii="Times New Roman" w:hAnsi="Times New Roman" w:cs="Times New Roman"/>
              </w:rPr>
              <w:br/>
              <w:t>n = 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75.0 (50.0–86.7),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23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(0.0–11.1), </w:t>
            </w:r>
            <w:r w:rsidRPr="00BC7B9F">
              <w:rPr>
                <w:rFonts w:ascii="Times New Roman" w:hAnsi="Times New Roman" w:cs="Times New Roman"/>
              </w:rPr>
              <w:br/>
              <w:t>n = 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11.7 (0.0–50.0), </w:t>
            </w:r>
            <w:r w:rsidRPr="00BC7B9F">
              <w:rPr>
                <w:rFonts w:ascii="Times New Roman" w:hAnsi="Times New Roman" w:cs="Times New Roman"/>
              </w:rPr>
              <w:br/>
              <w:t>n = 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10.0 (0.0–18.8), </w:t>
            </w:r>
            <w:r w:rsidRPr="00BC7B9F">
              <w:rPr>
                <w:rFonts w:ascii="Times New Roman" w:hAnsi="Times New Roman" w:cs="Times New Roman"/>
              </w:rPr>
              <w:br/>
              <w:t>n = 8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7.8 (0.0–14.3),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16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7B9F">
              <w:rPr>
                <w:rFonts w:ascii="Times New Roman" w:hAnsi="Times New Roman" w:cs="Times New Roman"/>
              </w:rPr>
              <w:t>Guizhou</w:t>
            </w:r>
            <w:proofErr w:type="spellEnd"/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66.7 (33.3–75.0), </w:t>
            </w:r>
            <w:r w:rsidRPr="00BC7B9F">
              <w:rPr>
                <w:rFonts w:ascii="Times New Roman" w:hAnsi="Times New Roman" w:cs="Times New Roman"/>
              </w:rPr>
              <w:br/>
              <w:t>n = 5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70.0 (53.3–80.0), </w:t>
            </w:r>
            <w:r w:rsidRPr="00BC7B9F">
              <w:rPr>
                <w:rFonts w:ascii="Times New Roman" w:hAnsi="Times New Roman" w:cs="Times New Roman"/>
              </w:rPr>
              <w:br/>
              <w:t>n = 7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30.0 (0.0–40.0), </w:t>
            </w:r>
            <w:r w:rsidRPr="00BC7B9F">
              <w:rPr>
                <w:rFonts w:ascii="Times New Roman" w:hAnsi="Times New Roman" w:cs="Times New Roman"/>
              </w:rPr>
              <w:br/>
              <w:t>n = 11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40.0 (30.0–70.0),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23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22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22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Hebei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4.5 (4.0–5.0), </w:t>
            </w:r>
            <w:r w:rsidRPr="00BC7B9F">
              <w:rPr>
                <w:rFonts w:ascii="Times New Roman" w:hAnsi="Times New Roman" w:cs="Times New Roman"/>
              </w:rPr>
              <w:br/>
              <w:t>n = 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(0.0–4.0),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1.0 (0.0–2.0),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2.0 (0.0–4.0),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7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</w:r>
            <w:r w:rsidRPr="00BC7B9F">
              <w:rPr>
                <w:rFonts w:ascii="Times New Roman" w:hAnsi="Times New Roman" w:cs="Times New Roman"/>
              </w:rPr>
              <w:lastRenderedPageBreak/>
              <w:t>n = 10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n = 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n = 19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Hubei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73.5 (70.0–100.0), </w:t>
            </w:r>
            <w:r w:rsidRPr="00BC7B9F">
              <w:rPr>
                <w:rFonts w:ascii="Times New Roman" w:hAnsi="Times New Roman" w:cs="Times New Roman"/>
              </w:rPr>
              <w:br/>
              <w:t>n = 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47.5 (0.0–76.7), </w:t>
            </w:r>
            <w:r w:rsidRPr="00BC7B9F">
              <w:rPr>
                <w:rFonts w:ascii="Times New Roman" w:hAnsi="Times New Roman" w:cs="Times New Roman"/>
              </w:rPr>
              <w:br/>
              <w:t>n = 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47.5 (0.0–73.5),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10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(0.0–1.9),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(0.0–2.0),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5.9 (0.0–13.3),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(0.0–6.8),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10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Inner Mongolia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(0.0–10.0),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10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25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  <w:r w:rsidRPr="00BC7B9F">
              <w:rPr>
                <w:rFonts w:ascii="Times New Roman" w:hAnsi="Times New Roman" w:cs="Times New Roman"/>
              </w:rPr>
              <w:br/>
              <w:t>n = 7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8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19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18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0.9,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(0.0–10.0), </w:t>
            </w:r>
            <w:r w:rsidRPr="00BC7B9F">
              <w:rPr>
                <w:rFonts w:ascii="Times New Roman" w:hAnsi="Times New Roman" w:cs="Times New Roman"/>
              </w:rPr>
              <w:br/>
              <w:t>n = 20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73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Jiangsu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38.0,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38.0, n = 1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0.0, n = 1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Jilin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3.0 (0.0–6.0),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7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23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23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Liaoning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2.4 (2.0–3.5),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2.4 (2.0–3.5),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5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5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Shanxi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n = 10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0.0 (0.0–3.3),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n = 5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0.0 (0.0–18.2),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n = 11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lastRenderedPageBreak/>
              <w:t>n = 26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(0.0–6.3),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8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(0.0–6.3),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9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Sichuan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46.7 (20.0–100.0), </w:t>
            </w:r>
            <w:r w:rsidRPr="00BC7B9F">
              <w:rPr>
                <w:rFonts w:ascii="Times New Roman" w:hAnsi="Times New Roman" w:cs="Times New Roman"/>
              </w:rPr>
              <w:br/>
              <w:t>n = 5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46.7 (20.0–100.0),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5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(0.0–2.8),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(0.0–2.8),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9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Tibet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24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26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Xinjiang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(0.0–2.0),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16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5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(0.0–0.0), </w:t>
            </w:r>
            <w:r w:rsidRPr="00BC7B9F">
              <w:rPr>
                <w:rFonts w:ascii="Times New Roman" w:hAnsi="Times New Roman" w:cs="Times New Roman"/>
              </w:rPr>
              <w:br/>
              <w:t>n = 11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(0.0–4.4), </w:t>
            </w:r>
            <w:r w:rsidRPr="00BC7B9F">
              <w:rPr>
                <w:rFonts w:ascii="Times New Roman" w:hAnsi="Times New Roman" w:cs="Times New Roman"/>
              </w:rPr>
              <w:br/>
              <w:t>n = 10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51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(0.0–5.0), </w:t>
            </w:r>
            <w:r w:rsidRPr="00BC7B9F">
              <w:rPr>
                <w:rFonts w:ascii="Times New Roman" w:hAnsi="Times New Roman" w:cs="Times New Roman"/>
              </w:rPr>
              <w:br/>
              <w:t>n = 12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20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35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Yunnan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37.5,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7.2 (0.0–14.3), </w:t>
            </w:r>
            <w:r w:rsidRPr="00BC7B9F">
              <w:rPr>
                <w:rFonts w:ascii="Times New Roman" w:hAnsi="Times New Roman" w:cs="Times New Roman"/>
              </w:rPr>
              <w:br/>
              <w:t>n = 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91.5 (74.3–97.6),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58.4 (48.6–70.1),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95.7 (77.1–97.9),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13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90.9 (71.0–95.7),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29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11.4,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8.0, n = 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0.0 (0.0–36.0), </w:t>
            </w:r>
            <w:r w:rsidRPr="00BC7B9F">
              <w:rPr>
                <w:rFonts w:ascii="Times New Roman" w:hAnsi="Times New Roman" w:cs="Times New Roman"/>
              </w:rPr>
              <w:br/>
              <w:t>n = 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 xml:space="preserve">29.1 (8.2–50.0), </w:t>
            </w:r>
            <w:r w:rsidRPr="00BC7B9F">
              <w:rPr>
                <w:rFonts w:ascii="Times New Roman" w:hAnsi="Times New Roman" w:cs="Times New Roman"/>
              </w:rPr>
              <w:br/>
              <w:t>n = 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8.0 (0.0–36.0),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9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Bovine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38.6 (10.0–57.0),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20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1.6 (0.0–38.0),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38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26.7 (3.8–68.1),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54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(0.0–6.9),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78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26.7 (2.0–60.0),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65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4.0 (0.0–21.1),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288</w:t>
            </w:r>
          </w:p>
        </w:tc>
      </w:tr>
      <w:tr w:rsidR="00BC7B9F" w:rsidRPr="00BC7B9F" w:rsidTr="002B26B8">
        <w:tc>
          <w:tcPr>
            <w:tcW w:w="1151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21" w:left="-44" w:rightChars="-37" w:right="-7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BC7B9F" w:rsidRPr="00BC7B9F" w:rsidRDefault="00BC7B9F" w:rsidP="002B26B8">
            <w:pPr>
              <w:spacing w:line="360" w:lineRule="auto"/>
              <w:ind w:leftChars="-56" w:left="-118" w:rightChars="-73" w:right="-153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13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(0.0–3.4),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14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36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47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20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108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0.0 (0.0–0.0),</w:t>
            </w:r>
          </w:p>
          <w:p w:rsidR="00BC7B9F" w:rsidRPr="00BC7B9F" w:rsidRDefault="00BC7B9F" w:rsidP="002B26B8">
            <w:pPr>
              <w:spacing w:line="360" w:lineRule="auto"/>
              <w:ind w:leftChars="-33" w:left="-69" w:rightChars="-62" w:right="-130"/>
              <w:jc w:val="left"/>
              <w:rPr>
                <w:rFonts w:ascii="Times New Roman" w:hAnsi="Times New Roman" w:cs="Times New Roman"/>
              </w:rPr>
            </w:pPr>
            <w:r w:rsidRPr="00BC7B9F">
              <w:rPr>
                <w:rFonts w:ascii="Times New Roman" w:hAnsi="Times New Roman" w:cs="Times New Roman"/>
              </w:rPr>
              <w:t>n = 238</w:t>
            </w:r>
          </w:p>
        </w:tc>
      </w:tr>
    </w:tbl>
    <w:p w:rsidR="00BC7B9F" w:rsidRPr="00BC7B9F" w:rsidRDefault="00BC7B9F" w:rsidP="00BC7B9F">
      <w:pPr>
        <w:spacing w:line="360" w:lineRule="auto"/>
        <w:rPr>
          <w:rFonts w:ascii="Times New Roman" w:hAnsi="Times New Roman" w:cs="Times New Roman"/>
        </w:rPr>
        <w:sectPr w:rsidR="00BC7B9F" w:rsidRPr="00BC7B9F" w:rsidSect="00115918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12"/>
        </w:sectPr>
      </w:pPr>
    </w:p>
    <w:p w:rsidR="00BC7B9F" w:rsidRPr="00BC7B9F" w:rsidRDefault="00BC7B9F" w:rsidP="00BC7B9F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BC7B9F">
        <w:rPr>
          <w:rFonts w:ascii="Times New Roman" w:hAnsi="Times New Roman" w:cs="Times New Roman"/>
          <w:b/>
          <w:noProof/>
          <w:sz w:val="22"/>
        </w:rPr>
        <w:lastRenderedPageBreak/>
        <w:drawing>
          <wp:inline distT="0" distB="0" distL="0" distR="0" wp14:anchorId="7E05360E" wp14:editId="28F7C4ED">
            <wp:extent cx="4679950" cy="2108200"/>
            <wp:effectExtent l="0" t="0" r="6350" b="6350"/>
            <wp:docPr id="1" name="图片 1" descr="Figure_S1 13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_S1 130 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E5" w:rsidRPr="00BC7B9F" w:rsidRDefault="00BC7B9F" w:rsidP="00BC7B9F">
      <w:pPr>
        <w:suppressAutoHyphens/>
        <w:spacing w:line="360" w:lineRule="auto"/>
        <w:rPr>
          <w:rFonts w:ascii="Times New Roman" w:hAnsi="Times New Roman" w:cs="Times New Roman"/>
          <w:sz w:val="22"/>
          <w:lang w:val="en-GB"/>
        </w:rPr>
      </w:pPr>
      <w:proofErr w:type="gramStart"/>
      <w:r w:rsidRPr="00BC7B9F">
        <w:rPr>
          <w:rFonts w:ascii="Times New Roman" w:hAnsi="Times New Roman" w:cs="Times New Roman"/>
          <w:b/>
          <w:sz w:val="22"/>
        </w:rPr>
        <w:t>Supplementary Fig.</w:t>
      </w:r>
      <w:proofErr w:type="gramEnd"/>
      <w:r w:rsidRPr="00BC7B9F">
        <w:rPr>
          <w:rFonts w:ascii="Times New Roman" w:hAnsi="Times New Roman" w:cs="Times New Roman"/>
          <w:b/>
          <w:sz w:val="22"/>
        </w:rPr>
        <w:t xml:space="preserve"> S1</w:t>
      </w:r>
      <w:r w:rsidRPr="00BC7B9F">
        <w:rPr>
          <w:rFonts w:ascii="Times New Roman" w:hAnsi="Times New Roman" w:cs="Times New Roman"/>
          <w:sz w:val="22"/>
        </w:rPr>
        <w:t xml:space="preserve"> Fitting curve analysis of the distribution of seropositive groups in China between 2014 and 2019. The distributions of seropositive groups along the longitude (</w:t>
      </w:r>
      <w:r w:rsidRPr="00BC7B9F">
        <w:rPr>
          <w:rFonts w:ascii="Times New Roman" w:hAnsi="Times New Roman" w:cs="Times New Roman"/>
          <w:b/>
          <w:sz w:val="22"/>
        </w:rPr>
        <w:t>A</w:t>
      </w:r>
      <w:r w:rsidRPr="00BC7B9F">
        <w:rPr>
          <w:rFonts w:ascii="Times New Roman" w:hAnsi="Times New Roman" w:cs="Times New Roman"/>
          <w:sz w:val="22"/>
        </w:rPr>
        <w:t>) and latitude (</w:t>
      </w:r>
      <w:r w:rsidRPr="00BC7B9F">
        <w:rPr>
          <w:rFonts w:ascii="Times New Roman" w:hAnsi="Times New Roman" w:cs="Times New Roman"/>
          <w:b/>
          <w:sz w:val="22"/>
        </w:rPr>
        <w:t>B</w:t>
      </w:r>
      <w:r w:rsidRPr="00BC7B9F">
        <w:rPr>
          <w:rFonts w:ascii="Times New Roman" w:hAnsi="Times New Roman" w:cs="Times New Roman"/>
          <w:sz w:val="22"/>
        </w:rPr>
        <w:t>) were shown, respectively. The smooth fitting curves were constructed under LOESS model for the bovine groups (blue) and goat/sheep groups (orange), respectively.</w:t>
      </w:r>
    </w:p>
    <w:sectPr w:rsidR="00BF5BE5" w:rsidRPr="00BC7B9F" w:rsidSect="00634F9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F7" w:rsidRDefault="00E672F7" w:rsidP="000761B5">
      <w:r>
        <w:separator/>
      </w:r>
    </w:p>
  </w:endnote>
  <w:endnote w:type="continuationSeparator" w:id="0">
    <w:p w:rsidR="00E672F7" w:rsidRDefault="00E672F7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F7" w:rsidRDefault="00E672F7" w:rsidP="000761B5">
      <w:r>
        <w:separator/>
      </w:r>
    </w:p>
  </w:footnote>
  <w:footnote w:type="continuationSeparator" w:id="0">
    <w:p w:rsidR="00E672F7" w:rsidRDefault="00E672F7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C7B9F">
          <w:rPr>
            <w:rFonts w:ascii="Times New Roman" w:hAnsi="Times New Roman" w:cs="Times New Roman"/>
            <w:b/>
            <w:bCs/>
            <w:noProof/>
          </w:rPr>
          <w:t>7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C7B9F">
          <w:rPr>
            <w:rFonts w:ascii="Times New Roman" w:hAnsi="Times New Roman" w:cs="Times New Roman"/>
            <w:b/>
            <w:bCs/>
            <w:noProof/>
          </w:rPr>
          <w:t>8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1102</Words>
  <Characters>6285</Characters>
  <Application>Microsoft Office Word</Application>
  <DocSecurity>0</DocSecurity>
  <Lines>52</Lines>
  <Paragraphs>14</Paragraphs>
  <ScaleCrop>false</ScaleCrop>
  <Company>whiov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2022-06-13T03:48:00Z</dcterms:created>
  <dcterms:modified xsi:type="dcterms:W3CDTF">2022-06-13T03:50:00Z</dcterms:modified>
</cp:coreProperties>
</file>