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4A677F" w:rsidRDefault="004A677F" w:rsidP="004A677F">
      <w:pPr>
        <w:widowControl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F1323E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A Novel Bat Coronavirus with a Polybasic </w:t>
      </w:r>
      <w:proofErr w:type="spellStart"/>
      <w:r w:rsidRPr="00F1323E">
        <w:rPr>
          <w:rFonts w:ascii="Times New Roman" w:hAnsi="Times New Roman" w:cs="Times New Roman"/>
          <w:b/>
          <w:bCs/>
          <w:w w:val="105"/>
          <w:sz w:val="30"/>
          <w:szCs w:val="30"/>
        </w:rPr>
        <w:t>Furin</w:t>
      </w:r>
      <w:proofErr w:type="spellEnd"/>
      <w:r w:rsidRPr="00F1323E">
        <w:rPr>
          <w:rFonts w:ascii="Times New Roman" w:hAnsi="Times New Roman" w:cs="Times New Roman"/>
          <w:b/>
          <w:bCs/>
          <w:w w:val="105"/>
          <w:sz w:val="30"/>
          <w:szCs w:val="30"/>
        </w:rPr>
        <w:t>-like Cleavage Site</w:t>
      </w:r>
    </w:p>
    <w:p w:rsidR="004A677F" w:rsidRDefault="004A677F" w:rsidP="004A677F">
      <w:pPr>
        <w:widowControl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</w:p>
    <w:p w:rsidR="004A677F" w:rsidRDefault="004A677F" w:rsidP="004A677F">
      <w:pPr>
        <w:pStyle w:val="ad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Wentao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Zhu</w:t>
      </w:r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a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Yuyuan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Huang</w:t>
      </w:r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b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, Jian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Gong</w:t>
      </w:r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b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Lingzhi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Dong</w:t>
      </w:r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b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Xiaojie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Yu</w:t>
      </w:r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c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Haiyun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Chen</w:t>
      </w:r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c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Dandan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Li</w:t>
      </w:r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c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Libo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Zhou</w:t>
      </w:r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c</w:t>
      </w:r>
      <w:proofErr w:type="spellEnd"/>
      <w:r w:rsidRPr="00F1323E">
        <w:rPr>
          <w:rFonts w:ascii="Times New Roman" w:hAnsi="Times New Roman" w:cs="Times New Roman"/>
          <w:b/>
          <w:sz w:val="22"/>
          <w:szCs w:val="22"/>
        </w:rPr>
        <w:t>,</w:t>
      </w:r>
      <w:r w:rsidRPr="00F1323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F1323E">
        <w:rPr>
          <w:rFonts w:ascii="Times New Roman" w:hAnsi="Times New Roman" w:cs="Times New Roman"/>
          <w:b/>
          <w:sz w:val="22"/>
          <w:szCs w:val="22"/>
        </w:rPr>
        <w:t xml:space="preserve">Jing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Yang</w:t>
      </w:r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b</w:t>
      </w:r>
      <w:r w:rsidRPr="00F1323E">
        <w:rPr>
          <w:rFonts w:ascii="Times New Roman" w:hAnsi="Times New Roman" w:cs="Times New Roman"/>
          <w:b/>
          <w:sz w:val="22"/>
          <w:szCs w:val="22"/>
          <w:vertAlign w:val="superscript"/>
        </w:rPr>
        <w:t>,</w:t>
      </w:r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d</w:t>
      </w:r>
      <w:proofErr w:type="spellEnd"/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,</w:t>
      </w:r>
      <w:r w:rsidRPr="00225F01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  <w:r w:rsidRPr="00F1323E">
        <w:rPr>
          <w:rFonts w:ascii="Times New Roman" w:hAnsi="Times New Roman" w:cs="Times New Roman"/>
          <w:b/>
          <w:sz w:val="22"/>
          <w:szCs w:val="22"/>
        </w:rPr>
        <w:t xml:space="preserve"> and Shan </w:t>
      </w:r>
      <w:proofErr w:type="spellStart"/>
      <w:r w:rsidRPr="00F1323E">
        <w:rPr>
          <w:rFonts w:ascii="Times New Roman" w:hAnsi="Times New Roman" w:cs="Times New Roman"/>
          <w:b/>
          <w:sz w:val="22"/>
          <w:szCs w:val="22"/>
        </w:rPr>
        <w:t>Lu</w:t>
      </w:r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b</w:t>
      </w:r>
      <w:r w:rsidRPr="00F1323E">
        <w:rPr>
          <w:rFonts w:ascii="Times New Roman" w:hAnsi="Times New Roman" w:cs="Times New Roman"/>
          <w:b/>
          <w:sz w:val="22"/>
          <w:szCs w:val="22"/>
          <w:vertAlign w:val="superscript"/>
        </w:rPr>
        <w:t>,</w:t>
      </w:r>
      <w:r w:rsidRPr="00F1323E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d</w:t>
      </w:r>
      <w:proofErr w:type="spellEnd"/>
      <w:r w:rsidRPr="00225F01">
        <w:rPr>
          <w:rFonts w:ascii="Times New Roman" w:hAnsi="Times New Roman" w:cs="Times New Roman" w:hint="eastAsia"/>
          <w:b/>
          <w:sz w:val="22"/>
          <w:szCs w:val="22"/>
          <w:vertAlign w:val="superscript"/>
        </w:rPr>
        <w:t>,</w:t>
      </w:r>
      <w:r w:rsidRPr="00225F01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</w:p>
    <w:p w:rsidR="004A677F" w:rsidRPr="00F1323E" w:rsidRDefault="004A677F" w:rsidP="004A677F">
      <w:pPr>
        <w:pStyle w:val="ad"/>
        <w:rPr>
          <w:rFonts w:ascii="Times New Roman" w:hAnsi="Times New Roman" w:cs="Times New Roman"/>
          <w:b/>
          <w:sz w:val="22"/>
          <w:szCs w:val="22"/>
        </w:rPr>
      </w:pPr>
    </w:p>
    <w:p w:rsidR="004A677F" w:rsidRPr="00F1323E" w:rsidRDefault="004A677F" w:rsidP="004A677F">
      <w:pPr>
        <w:rPr>
          <w:rFonts w:ascii="Times New Roman" w:hAnsi="Times New Roman" w:cs="Times New Roman"/>
          <w:i/>
          <w:sz w:val="22"/>
        </w:rPr>
      </w:pPr>
      <w:r w:rsidRPr="00F1323E">
        <w:rPr>
          <w:rFonts w:ascii="Times New Roman" w:hAnsi="Times New Roman" w:cs="Times New Roman" w:hint="eastAsia"/>
          <w:i/>
          <w:sz w:val="22"/>
          <w:vertAlign w:val="superscript"/>
        </w:rPr>
        <w:t>a</w:t>
      </w:r>
      <w:r w:rsidRPr="00F1323E">
        <w:rPr>
          <w:rFonts w:ascii="Times New Roman" w:hAnsi="Times New Roman" w:cs="Times New Roman" w:hint="eastAsia"/>
          <w:i/>
          <w:sz w:val="22"/>
        </w:rPr>
        <w:t xml:space="preserve"> </w:t>
      </w:r>
      <w:r w:rsidRPr="00F1323E">
        <w:rPr>
          <w:rFonts w:ascii="Times New Roman" w:hAnsi="Times New Roman" w:cs="Times New Roman"/>
          <w:i/>
          <w:sz w:val="22"/>
        </w:rPr>
        <w:t>Department of Infectious Diseases and Clinical Microbiology, Beijing Institute of Respiratory Medicine and Beijing Chao-Yang Hospital, Capital Medical University, Beijing, 100020, China</w:t>
      </w:r>
    </w:p>
    <w:p w:rsidR="004A677F" w:rsidRPr="00F1323E" w:rsidRDefault="004A677F" w:rsidP="004A677F">
      <w:pPr>
        <w:rPr>
          <w:rFonts w:ascii="Times New Roman" w:hAnsi="Times New Roman" w:cs="Times New Roman"/>
          <w:i/>
          <w:sz w:val="22"/>
        </w:rPr>
      </w:pPr>
      <w:r w:rsidRPr="00F1323E">
        <w:rPr>
          <w:rFonts w:ascii="Times New Roman" w:hAnsi="Times New Roman" w:cs="Times New Roman" w:hint="eastAsia"/>
          <w:i/>
          <w:sz w:val="22"/>
          <w:vertAlign w:val="superscript"/>
        </w:rPr>
        <w:t>b</w:t>
      </w:r>
      <w:r w:rsidRPr="00F1323E">
        <w:rPr>
          <w:rFonts w:ascii="Times New Roman" w:hAnsi="Times New Roman" w:cs="Times New Roman"/>
          <w:i/>
          <w:sz w:val="22"/>
        </w:rPr>
        <w:t xml:space="preserve"> State Key Laboratory of Infectious Disease Prevention and Control, National Institute for Communicable Disease Control and Prevention, Chinese Center for Disease Control and Prevention, Beijing 102206, China</w:t>
      </w:r>
    </w:p>
    <w:p w:rsidR="004A677F" w:rsidRPr="00F1323E" w:rsidRDefault="004A677F" w:rsidP="004A677F">
      <w:pPr>
        <w:rPr>
          <w:rFonts w:ascii="Times New Roman" w:hAnsi="Times New Roman" w:cs="Times New Roman"/>
          <w:i/>
          <w:sz w:val="22"/>
        </w:rPr>
      </w:pPr>
      <w:proofErr w:type="gramStart"/>
      <w:r w:rsidRPr="00F1323E">
        <w:rPr>
          <w:rFonts w:ascii="Times New Roman" w:hAnsi="Times New Roman" w:cs="Times New Roman" w:hint="eastAsia"/>
          <w:i/>
          <w:sz w:val="22"/>
          <w:vertAlign w:val="superscript"/>
        </w:rPr>
        <w:t>c</w:t>
      </w:r>
      <w:proofErr w:type="gramEnd"/>
      <w:r w:rsidRPr="00F1323E">
        <w:rPr>
          <w:rFonts w:ascii="Times New Roman" w:hAnsi="Times New Roman" w:cs="Times New Roman"/>
          <w:i/>
          <w:sz w:val="22"/>
        </w:rPr>
        <w:t xml:space="preserve"> Hainan Provincial Center for Disease Control and Prevention, Haikou 570203, China</w:t>
      </w:r>
    </w:p>
    <w:p w:rsidR="004A677F" w:rsidRPr="00F1323E" w:rsidRDefault="004A677F" w:rsidP="004A677F">
      <w:pPr>
        <w:rPr>
          <w:rFonts w:ascii="Times New Roman" w:hAnsi="Times New Roman" w:cs="Times New Roman"/>
          <w:i/>
          <w:sz w:val="22"/>
        </w:rPr>
      </w:pPr>
      <w:proofErr w:type="gramStart"/>
      <w:r w:rsidRPr="00F1323E">
        <w:rPr>
          <w:rFonts w:ascii="Times New Roman" w:hAnsi="Times New Roman" w:cs="Times New Roman" w:hint="eastAsia"/>
          <w:i/>
          <w:sz w:val="22"/>
          <w:vertAlign w:val="superscript"/>
        </w:rPr>
        <w:t>d</w:t>
      </w:r>
      <w:proofErr w:type="gramEnd"/>
      <w:r w:rsidRPr="00F1323E">
        <w:rPr>
          <w:rFonts w:ascii="Times New Roman" w:hAnsi="Times New Roman" w:cs="Times New Roman"/>
          <w:i/>
          <w:sz w:val="22"/>
        </w:rPr>
        <w:t xml:space="preserve"> Research Units of Discovery of Unknown Bacteria and Function, Chinese Academy of Medical Sciences, Beijing 100730, China</w:t>
      </w:r>
    </w:p>
    <w:p w:rsidR="004A677F" w:rsidRPr="00E6525E" w:rsidRDefault="004A677F" w:rsidP="004A677F">
      <w:pPr>
        <w:rPr>
          <w:rFonts w:ascii="Times New Roman" w:hAnsi="Times New Roman" w:cs="Times New Roman"/>
          <w:sz w:val="22"/>
        </w:rPr>
      </w:pPr>
    </w:p>
    <w:p w:rsidR="004A677F" w:rsidRPr="00E6525E" w:rsidRDefault="004A677F" w:rsidP="004A677F">
      <w:pPr>
        <w:rPr>
          <w:rFonts w:ascii="Times New Roman" w:hAnsi="Times New Roman" w:cs="Times New Roman"/>
          <w:sz w:val="22"/>
        </w:rPr>
      </w:pPr>
      <w:r w:rsidRPr="00E6525E">
        <w:rPr>
          <w:rFonts w:ascii="Times New Roman" w:hAnsi="Times New Roman" w:cs="Times New Roman"/>
          <w:sz w:val="22"/>
          <w:vertAlign w:val="superscript"/>
        </w:rPr>
        <w:t>*</w:t>
      </w:r>
      <w:r w:rsidRPr="00E6525E">
        <w:rPr>
          <w:rFonts w:ascii="Times New Roman" w:hAnsi="Times New Roman" w:cs="Times New Roman"/>
          <w:sz w:val="22"/>
        </w:rPr>
        <w:t>Correspond</w:t>
      </w:r>
      <w:r w:rsidRPr="00E6525E">
        <w:rPr>
          <w:rFonts w:ascii="Times New Roman" w:hAnsi="Times New Roman" w:cs="Times New Roman" w:hint="eastAsia"/>
          <w:sz w:val="22"/>
        </w:rPr>
        <w:t>ing authors.</w:t>
      </w:r>
    </w:p>
    <w:p w:rsidR="008358B6" w:rsidRPr="00BC7B9F" w:rsidRDefault="004A677F" w:rsidP="004A677F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E6525E">
        <w:rPr>
          <w:rFonts w:ascii="Times New Roman" w:hAnsi="Times New Roman" w:cs="Times New Roman" w:hint="eastAsia"/>
          <w:i/>
          <w:sz w:val="22"/>
        </w:rPr>
        <w:t>E-mail add</w:t>
      </w:r>
      <w:r w:rsidRPr="004A677F">
        <w:rPr>
          <w:rFonts w:ascii="Times New Roman" w:hAnsi="Times New Roman" w:cs="Times New Roman"/>
          <w:i/>
          <w:sz w:val="22"/>
        </w:rPr>
        <w:t>ress</w:t>
      </w:r>
      <w:r w:rsidRPr="004A677F">
        <w:rPr>
          <w:rFonts w:ascii="Times New Roman" w:hAnsi="Times New Roman" w:cs="Times New Roman"/>
          <w:sz w:val="22"/>
        </w:rPr>
        <w:t xml:space="preserve">: </w:t>
      </w:r>
      <w:hyperlink r:id="rId8" w:history="1">
        <w:r w:rsidRPr="004A677F">
          <w:rPr>
            <w:rStyle w:val="ab"/>
            <w:rFonts w:ascii="Times New Roman" w:hAnsi="Times New Roman" w:cs="Times New Roman"/>
            <w:sz w:val="22"/>
          </w:rPr>
          <w:t>yangjing@icdc.cn</w:t>
        </w:r>
      </w:hyperlink>
      <w:r w:rsidRPr="004A677F">
        <w:rPr>
          <w:rFonts w:ascii="Times New Roman" w:hAnsi="Times New Roman" w:cs="Times New Roman"/>
          <w:sz w:val="22"/>
        </w:rPr>
        <w:t xml:space="preserve"> (J. Yang), </w:t>
      </w:r>
      <w:hyperlink r:id="rId9" w:history="1">
        <w:r w:rsidRPr="004A677F">
          <w:rPr>
            <w:rStyle w:val="ab"/>
            <w:rFonts w:ascii="Times New Roman" w:hAnsi="Times New Roman" w:cs="Times New Roman"/>
            <w:sz w:val="22"/>
          </w:rPr>
          <w:t>lushan@icdc.cn</w:t>
        </w:r>
      </w:hyperlink>
      <w:r w:rsidRPr="004A677F">
        <w:rPr>
          <w:rFonts w:ascii="Times New Roman" w:hAnsi="Times New Roman" w:cs="Times New Roman"/>
          <w:sz w:val="22"/>
        </w:rPr>
        <w:t xml:space="preserve"> (S. Lu)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BC7B9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C7B9F" w:rsidSect="00DE5AC2">
          <w:headerReference w:type="default" r:id="rId10"/>
          <w:footerReference w:type="default" r:id="rId11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EE4D71" w:rsidRDefault="00EE4D71" w:rsidP="00EE4D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23E">
        <w:rPr>
          <w:rFonts w:ascii="Times New Roman" w:hAnsi="Times New Roman" w:cs="Times New Roman" w:hint="eastAsia"/>
          <w:b/>
          <w:sz w:val="24"/>
          <w:szCs w:val="24"/>
        </w:rPr>
        <w:lastRenderedPageBreak/>
        <w:t>Supplementary T</w:t>
      </w:r>
      <w:r w:rsidRPr="00F1323E">
        <w:rPr>
          <w:rFonts w:ascii="Times New Roman" w:hAnsi="Times New Roman" w:cs="Times New Roman"/>
          <w:b/>
          <w:sz w:val="24"/>
          <w:szCs w:val="24"/>
        </w:rPr>
        <w:t>able S1</w:t>
      </w:r>
      <w:r>
        <w:rPr>
          <w:rFonts w:ascii="Times New Roman" w:hAnsi="Times New Roman" w:cs="Times New Roman"/>
          <w:sz w:val="24"/>
          <w:szCs w:val="24"/>
        </w:rPr>
        <w:t xml:space="preserve"> The primers were used to confirm the genome of B</w:t>
      </w:r>
      <w:r>
        <w:rPr>
          <w:rFonts w:ascii="Times New Roman" w:hAnsi="Times New Roman" w:cs="Times New Roman" w:hint="eastAsia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CD35 in this study.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343"/>
        <w:gridCol w:w="3718"/>
        <w:gridCol w:w="1738"/>
        <w:gridCol w:w="2127"/>
      </w:tblGrid>
      <w:tr w:rsidR="00EE4D71" w:rsidTr="006F5D20"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871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102871">
              <w:rPr>
                <w:rFonts w:ascii="Times New Roman" w:hAnsi="Times New Roman" w:cs="Times New Roman"/>
                <w:sz w:val="18"/>
                <w:szCs w:val="18"/>
              </w:rPr>
              <w:t>rimer names</w:t>
            </w:r>
          </w:p>
        </w:tc>
        <w:tc>
          <w:tcPr>
            <w:tcW w:w="3718" w:type="dxa"/>
            <w:tcBorders>
              <w:left w:val="nil"/>
              <w:bottom w:val="single" w:sz="4" w:space="0" w:color="auto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871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102871">
              <w:rPr>
                <w:rFonts w:ascii="Times New Roman" w:hAnsi="Times New Roman" w:cs="Times New Roman"/>
                <w:sz w:val="18"/>
                <w:szCs w:val="18"/>
              </w:rPr>
              <w:t>rimer sequences</w:t>
            </w: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871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102871">
              <w:rPr>
                <w:rFonts w:ascii="Times New Roman" w:hAnsi="Times New Roman" w:cs="Times New Roman"/>
                <w:sz w:val="18"/>
                <w:szCs w:val="18"/>
              </w:rPr>
              <w:t>argeted region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871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102871">
              <w:rPr>
                <w:rFonts w:ascii="Times New Roman" w:hAnsi="Times New Roman" w:cs="Times New Roman"/>
                <w:sz w:val="18"/>
                <w:szCs w:val="18"/>
              </w:rPr>
              <w:t>ength of amplified region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bp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EE4D71" w:rsidTr="006F5D20">
        <w:tc>
          <w:tcPr>
            <w:tcW w:w="1343" w:type="dxa"/>
            <w:tcBorders>
              <w:left w:val="nil"/>
              <w:bottom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CD35</w:t>
            </w:r>
            <w:r w:rsidRPr="00102871">
              <w:rPr>
                <w:rFonts w:ascii="Times New Roman" w:hAnsi="Times New Roman" w:cs="Times New Roman"/>
                <w:sz w:val="18"/>
                <w:szCs w:val="18"/>
              </w:rPr>
              <w:t xml:space="preserve">-F1 </w:t>
            </w:r>
          </w:p>
        </w:tc>
        <w:tc>
          <w:tcPr>
            <w:tcW w:w="3718" w:type="dxa"/>
            <w:tcBorders>
              <w:left w:val="nil"/>
              <w:bottom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5D1">
              <w:rPr>
                <w:rFonts w:ascii="Times New Roman" w:hAnsi="Times New Roman" w:cs="Times New Roman"/>
                <w:sz w:val="18"/>
                <w:szCs w:val="18"/>
              </w:rPr>
              <w:t>TTCGTCTTATCTTTTGCCTTCA</w:t>
            </w:r>
          </w:p>
        </w:tc>
        <w:tc>
          <w:tcPr>
            <w:tcW w:w="1738" w:type="dxa"/>
            <w:vMerge w:val="restart"/>
            <w:tcBorders>
              <w:left w:val="nil"/>
              <w:bottom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F54">
              <w:rPr>
                <w:rFonts w:ascii="Times New Roman" w:hAnsi="Times New Roman" w:cs="Times New Roman"/>
                <w:sz w:val="18"/>
                <w:szCs w:val="18"/>
              </w:rPr>
              <w:t>NS2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E83F54">
              <w:rPr>
                <w:rFonts w:ascii="Times New Roman" w:hAnsi="Times New Roman" w:cs="Times New Roman"/>
                <w:sz w:val="18"/>
                <w:szCs w:val="18"/>
              </w:rPr>
              <w:t>spike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genes</w:t>
            </w:r>
          </w:p>
        </w:tc>
        <w:tc>
          <w:tcPr>
            <w:tcW w:w="2127" w:type="dxa"/>
            <w:vMerge w:val="restart"/>
            <w:tcBorders>
              <w:left w:val="nil"/>
              <w:bottom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9B6">
              <w:rPr>
                <w:rFonts w:ascii="Times New Roman" w:hAnsi="Times New Roman" w:cs="Times New Roman"/>
                <w:sz w:val="18"/>
                <w:szCs w:val="18"/>
              </w:rPr>
              <w:t>2090</w:t>
            </w:r>
          </w:p>
        </w:tc>
      </w:tr>
      <w:tr w:rsidR="00EE4D71" w:rsidTr="006F5D20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CD35</w:t>
            </w:r>
            <w:r w:rsidRPr="00102871">
              <w:rPr>
                <w:rFonts w:ascii="Times New Roman" w:hAnsi="Times New Roman" w:cs="Times New Roman"/>
                <w:sz w:val="18"/>
                <w:szCs w:val="18"/>
              </w:rPr>
              <w:t>-R1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EEB">
              <w:rPr>
                <w:rFonts w:ascii="Times New Roman" w:hAnsi="Times New Roman" w:cs="Times New Roman"/>
                <w:sz w:val="18"/>
                <w:szCs w:val="18"/>
              </w:rPr>
              <w:t>ACCAGTTCCCTTGTAACCATAAA</w:t>
            </w: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1" w:rsidTr="006F5D20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CD35</w:t>
            </w:r>
            <w:r w:rsidRPr="00102871">
              <w:rPr>
                <w:rFonts w:ascii="Times New Roman" w:hAnsi="Times New Roman" w:cs="Times New Roman"/>
                <w:sz w:val="18"/>
                <w:szCs w:val="18"/>
              </w:rPr>
              <w:t>-F2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29D">
              <w:rPr>
                <w:rFonts w:ascii="Times New Roman" w:hAnsi="Times New Roman" w:cs="Times New Roman"/>
                <w:sz w:val="18"/>
                <w:szCs w:val="18"/>
              </w:rPr>
              <w:t>TGTCATTGGCTACTCACTAAAAA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RF4, E, M, ORF7, </w:t>
            </w:r>
            <w:r w:rsidRPr="009E0525">
              <w:rPr>
                <w:rFonts w:ascii="Times New Roman" w:hAnsi="Times New Roman" w:cs="Times New Roman"/>
                <w:sz w:val="18"/>
                <w:szCs w:val="18"/>
              </w:rPr>
              <w:t>ORF8, N genes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2503</w:t>
            </w:r>
          </w:p>
        </w:tc>
      </w:tr>
      <w:tr w:rsidR="00EE4D71" w:rsidTr="006F5D20">
        <w:tc>
          <w:tcPr>
            <w:tcW w:w="1343" w:type="dxa"/>
            <w:tcBorders>
              <w:top w:val="nil"/>
              <w:left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CD35</w:t>
            </w:r>
            <w:r w:rsidRPr="00102871">
              <w:rPr>
                <w:rFonts w:ascii="Times New Roman" w:hAnsi="Times New Roman" w:cs="Times New Roman"/>
                <w:sz w:val="18"/>
                <w:szCs w:val="18"/>
              </w:rPr>
              <w:t>-R2</w:t>
            </w:r>
          </w:p>
        </w:tc>
        <w:tc>
          <w:tcPr>
            <w:tcW w:w="3718" w:type="dxa"/>
            <w:tcBorders>
              <w:top w:val="nil"/>
              <w:left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F1D">
              <w:rPr>
                <w:rFonts w:ascii="Times New Roman" w:hAnsi="Times New Roman" w:cs="Times New Roman"/>
                <w:sz w:val="18"/>
                <w:szCs w:val="18"/>
              </w:rPr>
              <w:t>CCATCGTTTGCTGAGTTTCTA</w:t>
            </w:r>
          </w:p>
        </w:tc>
        <w:tc>
          <w:tcPr>
            <w:tcW w:w="1738" w:type="dxa"/>
            <w:vMerge/>
            <w:tcBorders>
              <w:top w:val="nil"/>
              <w:left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nil"/>
            </w:tcBorders>
          </w:tcPr>
          <w:p w:rsidR="00EE4D71" w:rsidRPr="00102871" w:rsidRDefault="00EE4D71" w:rsidP="006F5D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4D71" w:rsidRDefault="00EE4D71" w:rsidP="00EE4D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4D71" w:rsidRDefault="00EE4D71" w:rsidP="00EE4D7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4D71" w:rsidRPr="009B66D0" w:rsidRDefault="00EE4D71" w:rsidP="00EE4D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23E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Supplementary </w:t>
      </w:r>
      <w:r w:rsidRPr="00F1323E">
        <w:rPr>
          <w:rFonts w:ascii="Times New Roman" w:hAnsi="Times New Roman" w:cs="Times New Roman"/>
          <w:b/>
          <w:sz w:val="24"/>
          <w:szCs w:val="24"/>
        </w:rPr>
        <w:t>Table S2</w:t>
      </w:r>
      <w:r w:rsidRPr="009B66D0">
        <w:rPr>
          <w:rFonts w:ascii="Times New Roman" w:hAnsi="Times New Roman" w:cs="Times New Roman"/>
          <w:sz w:val="24"/>
          <w:szCs w:val="24"/>
        </w:rPr>
        <w:t xml:space="preserve"> Coding of potential of the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C29">
        <w:rPr>
          <w:rFonts w:ascii="Times New Roman" w:hAnsi="Times New Roman" w:cs="Times New Roman"/>
          <w:sz w:val="24"/>
          <w:szCs w:val="24"/>
        </w:rPr>
        <w:t>CD35</w:t>
      </w:r>
      <w:r w:rsidRPr="009B66D0">
        <w:rPr>
          <w:rFonts w:ascii="Times New Roman" w:hAnsi="Times New Roman" w:cs="Times New Roman"/>
          <w:sz w:val="24"/>
          <w:szCs w:val="24"/>
        </w:rPr>
        <w:t xml:space="preserve"> genome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7"/>
        <w:tblW w:w="8081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417"/>
        <w:gridCol w:w="1707"/>
      </w:tblGrid>
      <w:tr w:rsidR="00EE4D71" w:rsidRPr="006C7955" w:rsidTr="006F5D20">
        <w:trPr>
          <w:jc w:val="center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Location (</w:t>
            </w:r>
            <w:proofErr w:type="spellStart"/>
            <w:r w:rsidRPr="0030105B">
              <w:rPr>
                <w:rFonts w:ascii="Times New Roman" w:hAnsi="Times New Roman" w:cs="Times New Roman"/>
                <w:szCs w:val="21"/>
              </w:rPr>
              <w:t>nt</w:t>
            </w:r>
            <w:proofErr w:type="spellEnd"/>
            <w:r w:rsidRPr="0030105B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Length (</w:t>
            </w:r>
            <w:proofErr w:type="spellStart"/>
            <w:r w:rsidRPr="0030105B">
              <w:rPr>
                <w:rFonts w:ascii="Times New Roman" w:hAnsi="Times New Roman" w:cs="Times New Roman"/>
                <w:szCs w:val="21"/>
              </w:rPr>
              <w:t>nt</w:t>
            </w:r>
            <w:proofErr w:type="spellEnd"/>
            <w:r w:rsidRPr="0030105B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Length (aa)</w:t>
            </w:r>
          </w:p>
        </w:tc>
        <w:tc>
          <w:tcPr>
            <w:tcW w:w="1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Frames(s)</w:t>
            </w:r>
          </w:p>
        </w:tc>
      </w:tr>
      <w:tr w:rsidR="00EE4D71" w:rsidTr="006F5D20">
        <w:trPr>
          <w:jc w:val="center"/>
        </w:trPr>
        <w:tc>
          <w:tcPr>
            <w:tcW w:w="1696" w:type="dxa"/>
            <w:tcBorders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ORF1ab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286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30105B">
              <w:rPr>
                <w:rFonts w:ascii="Times New Roman" w:hAnsi="Times New Roman" w:cs="Times New Roman"/>
                <w:szCs w:val="21"/>
              </w:rPr>
              <w:t>21929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21645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7" w:type="dxa"/>
            <w:tcBorders>
              <w:left w:val="nil"/>
              <w:bottom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+1, +3</w:t>
            </w:r>
          </w:p>
        </w:tc>
      </w:tr>
      <w:tr w:rsidR="00EE4D71" w:rsidTr="006F5D20">
        <w:trPr>
          <w:trHeight w:val="83"/>
          <w:jc w:val="center"/>
        </w:trPr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EE4D71" w:rsidRPr="0030105B" w:rsidRDefault="00EE4D71" w:rsidP="006F5D2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ORF1a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286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30105B">
              <w:rPr>
                <w:rFonts w:ascii="Times New Roman" w:hAnsi="Times New Roman" w:cs="Times New Roman"/>
                <w:szCs w:val="21"/>
              </w:rPr>
              <w:t>13824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13539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4512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+1</w:t>
            </w:r>
          </w:p>
        </w:tc>
      </w:tr>
      <w:tr w:rsidR="00EE4D71" w:rsidTr="006F5D20">
        <w:trPr>
          <w:jc w:val="center"/>
        </w:trPr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EE4D71" w:rsidRPr="0030105B" w:rsidRDefault="00EE4D71" w:rsidP="006F5D2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ORF1b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13824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30105B">
              <w:rPr>
                <w:rFonts w:ascii="Times New Roman" w:hAnsi="Times New Roman" w:cs="Times New Roman"/>
                <w:szCs w:val="21"/>
              </w:rPr>
              <w:t>21929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8106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2701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+3</w:t>
            </w:r>
          </w:p>
        </w:tc>
      </w:tr>
      <w:tr w:rsidR="00EE4D71" w:rsidTr="006F5D20">
        <w:trPr>
          <w:jc w:val="center"/>
        </w:trPr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ORF2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21944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30105B">
              <w:rPr>
                <w:rFonts w:ascii="Times New Roman" w:hAnsi="Times New Roman" w:cs="Times New Roman"/>
                <w:szCs w:val="21"/>
              </w:rPr>
              <w:t>23170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408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+2</w:t>
            </w:r>
          </w:p>
        </w:tc>
      </w:tr>
      <w:tr w:rsidR="00EE4D71" w:rsidTr="006F5D20">
        <w:trPr>
          <w:jc w:val="center"/>
        </w:trPr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23320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30105B">
              <w:rPr>
                <w:rFonts w:ascii="Times New Roman" w:hAnsi="Times New Roman" w:cs="Times New Roman"/>
                <w:szCs w:val="21"/>
              </w:rPr>
              <w:t>27330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4011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1336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+1</w:t>
            </w:r>
          </w:p>
        </w:tc>
      </w:tr>
      <w:tr w:rsidR="00EE4D71" w:rsidTr="006F5D20">
        <w:trPr>
          <w:jc w:val="center"/>
        </w:trPr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ORF4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27330–</w:t>
            </w:r>
            <w:r w:rsidRPr="0030105B">
              <w:rPr>
                <w:rFonts w:ascii="Times New Roman" w:hAnsi="Times New Roman" w:cs="Times New Roman"/>
                <w:szCs w:val="21"/>
              </w:rPr>
              <w:t>28055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241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+3</w:t>
            </w:r>
          </w:p>
        </w:tc>
      </w:tr>
      <w:tr w:rsidR="00EE4D71" w:rsidTr="006F5D20">
        <w:trPr>
          <w:jc w:val="center"/>
        </w:trPr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bookmarkStart w:id="0" w:name="_Hlk77516848"/>
            <w:r w:rsidRPr="0030105B">
              <w:rPr>
                <w:rFonts w:ascii="Times New Roman" w:hAnsi="Times New Roman" w:cs="Times New Roman"/>
                <w:szCs w:val="21"/>
              </w:rPr>
              <w:t>E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28106–</w:t>
            </w:r>
            <w:r w:rsidRPr="0030105B">
              <w:rPr>
                <w:rFonts w:ascii="Times New Roman" w:hAnsi="Times New Roman" w:cs="Times New Roman"/>
                <w:szCs w:val="21"/>
              </w:rPr>
              <w:t>28345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+2</w:t>
            </w:r>
          </w:p>
        </w:tc>
      </w:tr>
      <w:tr w:rsidR="00EE4D71" w:rsidTr="006F5D20">
        <w:trPr>
          <w:jc w:val="center"/>
        </w:trPr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28405–</w:t>
            </w:r>
            <w:r w:rsidRPr="0030105B">
              <w:rPr>
                <w:rFonts w:ascii="Times New Roman" w:hAnsi="Times New Roman" w:cs="Times New Roman"/>
                <w:szCs w:val="21"/>
              </w:rPr>
              <w:t>28067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220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+1</w:t>
            </w:r>
          </w:p>
        </w:tc>
      </w:tr>
      <w:tr w:rsidR="00EE4D71" w:rsidTr="006F5D20">
        <w:trPr>
          <w:jc w:val="center"/>
        </w:trPr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ORF7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29083–</w:t>
            </w:r>
            <w:r w:rsidRPr="0030105B">
              <w:rPr>
                <w:rFonts w:ascii="Times New Roman" w:hAnsi="Times New Roman" w:cs="Times New Roman"/>
                <w:szCs w:val="21"/>
              </w:rPr>
              <w:t>29298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+1</w:t>
            </w:r>
          </w:p>
        </w:tc>
      </w:tr>
      <w:tr w:rsidR="00EE4D71" w:rsidTr="006F5D20">
        <w:trPr>
          <w:jc w:val="center"/>
        </w:trPr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ORF8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29312–</w:t>
            </w:r>
            <w:r w:rsidRPr="0030105B">
              <w:rPr>
                <w:rFonts w:ascii="Times New Roman" w:hAnsi="Times New Roman" w:cs="Times New Roman"/>
                <w:szCs w:val="21"/>
              </w:rPr>
              <w:t>29644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110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+2</w:t>
            </w:r>
          </w:p>
        </w:tc>
      </w:tr>
      <w:tr w:rsidR="00EE4D71" w:rsidTr="006F5D20">
        <w:trPr>
          <w:jc w:val="center"/>
        </w:trPr>
        <w:tc>
          <w:tcPr>
            <w:tcW w:w="1696" w:type="dxa"/>
            <w:tcBorders>
              <w:top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29692–</w:t>
            </w:r>
            <w:r w:rsidRPr="0030105B">
              <w:rPr>
                <w:rFonts w:ascii="Times New Roman" w:hAnsi="Times New Roman" w:cs="Times New Roman"/>
                <w:szCs w:val="21"/>
              </w:rPr>
              <w:t>30945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417</w:t>
            </w:r>
          </w:p>
        </w:tc>
        <w:tc>
          <w:tcPr>
            <w:tcW w:w="1707" w:type="dxa"/>
            <w:tcBorders>
              <w:top w:val="nil"/>
              <w:left w:val="nil"/>
            </w:tcBorders>
          </w:tcPr>
          <w:p w:rsidR="00EE4D71" w:rsidRPr="0030105B" w:rsidRDefault="00EE4D71" w:rsidP="006F5D20">
            <w:pPr>
              <w:rPr>
                <w:rFonts w:ascii="Times New Roman" w:hAnsi="Times New Roman" w:cs="Times New Roman"/>
                <w:szCs w:val="21"/>
              </w:rPr>
            </w:pPr>
            <w:r w:rsidRPr="0030105B">
              <w:rPr>
                <w:rFonts w:ascii="Times New Roman" w:hAnsi="Times New Roman" w:cs="Times New Roman"/>
                <w:szCs w:val="21"/>
              </w:rPr>
              <w:t>+1</w:t>
            </w:r>
          </w:p>
        </w:tc>
      </w:tr>
    </w:tbl>
    <w:p w:rsidR="00EE4D71" w:rsidRDefault="00EE4D71" w:rsidP="00EE4D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D71" w:rsidRDefault="00EE4D71" w:rsidP="00EE4D7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4D71" w:rsidRDefault="00EE4D71" w:rsidP="00EE4D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E830812" wp14:editId="73D9579A">
            <wp:extent cx="3520440" cy="1962912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71" w:rsidRDefault="00EE4D71" w:rsidP="00EE4D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323E">
        <w:rPr>
          <w:rFonts w:ascii="Times New Roman" w:hAnsi="Times New Roman" w:cs="Times New Roman" w:hint="eastAsia"/>
          <w:b/>
          <w:sz w:val="24"/>
          <w:szCs w:val="24"/>
        </w:rPr>
        <w:t>Supplementary F</w:t>
      </w:r>
      <w:r w:rsidRPr="00F1323E">
        <w:rPr>
          <w:rFonts w:ascii="Times New Roman" w:hAnsi="Times New Roman" w:cs="Times New Roman"/>
          <w:b/>
          <w:sz w:val="24"/>
          <w:szCs w:val="24"/>
        </w:rPr>
        <w:t>ig.</w:t>
      </w:r>
      <w:proofErr w:type="gramEnd"/>
      <w:r w:rsidRPr="00F1323E">
        <w:rPr>
          <w:rFonts w:ascii="Times New Roman" w:hAnsi="Times New Roman" w:cs="Times New Roman"/>
          <w:b/>
          <w:sz w:val="24"/>
          <w:szCs w:val="24"/>
        </w:rPr>
        <w:t xml:space="preserve">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146">
        <w:rPr>
          <w:rFonts w:ascii="Times New Roman" w:hAnsi="Times New Roman" w:cs="Times New Roman"/>
          <w:sz w:val="24"/>
          <w:szCs w:val="24"/>
        </w:rPr>
        <w:t xml:space="preserve">Phylogenetic analysis based on </w:t>
      </w:r>
      <w:r>
        <w:rPr>
          <w:rFonts w:ascii="Times New Roman" w:hAnsi="Times New Roman" w:cs="Times New Roman" w:hint="eastAsia"/>
          <w:sz w:val="24"/>
          <w:szCs w:val="24"/>
        </w:rPr>
        <w:t>nuc</w:t>
      </w:r>
      <w:r>
        <w:rPr>
          <w:rFonts w:ascii="Times New Roman" w:hAnsi="Times New Roman" w:cs="Times New Roman"/>
          <w:sz w:val="24"/>
          <w:szCs w:val="24"/>
        </w:rPr>
        <w:t>leotide</w:t>
      </w:r>
      <w:r w:rsidRPr="00664146">
        <w:rPr>
          <w:rFonts w:ascii="Times New Roman" w:hAnsi="Times New Roman" w:cs="Times New Roman"/>
          <w:sz w:val="24"/>
          <w:szCs w:val="24"/>
        </w:rPr>
        <w:t xml:space="preserve"> sequences of </w:t>
      </w:r>
      <w:proofErr w:type="spellStart"/>
      <w:r w:rsidRPr="00F1323E">
        <w:rPr>
          <w:rFonts w:ascii="Times New Roman" w:hAnsi="Times New Roman" w:cs="Times New Roman"/>
          <w:i/>
          <w:sz w:val="24"/>
          <w:szCs w:val="24"/>
        </w:rPr>
        <w:t>RdRp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genes within </w:t>
      </w:r>
      <w:r w:rsidRPr="007C1DBA">
        <w:rPr>
          <w:rFonts w:ascii="Times New Roman" w:hAnsi="Times New Roman" w:cs="Times New Roman"/>
          <w:i/>
          <w:iCs/>
          <w:sz w:val="24"/>
          <w:szCs w:val="24"/>
        </w:rPr>
        <w:t xml:space="preserve">Bat coronavirus </w:t>
      </w:r>
      <w:r w:rsidRPr="00F1323E">
        <w:rPr>
          <w:rFonts w:ascii="Times New Roman" w:hAnsi="Times New Roman" w:cs="Times New Roman"/>
          <w:iCs/>
          <w:sz w:val="24"/>
          <w:szCs w:val="24"/>
        </w:rPr>
        <w:t>HKU10</w:t>
      </w:r>
      <w:r>
        <w:rPr>
          <w:rFonts w:ascii="Times New Roman" w:hAnsi="Times New Roman" w:cs="Times New Roman"/>
          <w:sz w:val="24"/>
          <w:szCs w:val="24"/>
        </w:rPr>
        <w:t xml:space="preserve"> species</w:t>
      </w:r>
      <w:r w:rsidRPr="00664146">
        <w:rPr>
          <w:rFonts w:ascii="Times New Roman" w:hAnsi="Times New Roman" w:cs="Times New Roman"/>
          <w:sz w:val="24"/>
          <w:szCs w:val="24"/>
        </w:rPr>
        <w:t xml:space="preserve">. The tree (IBV as outgroup)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664146">
        <w:rPr>
          <w:rFonts w:ascii="Times New Roman" w:hAnsi="Times New Roman" w:cs="Times New Roman"/>
          <w:sz w:val="24"/>
          <w:szCs w:val="24"/>
        </w:rPr>
        <w:t xml:space="preserve"> built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64146">
        <w:rPr>
          <w:rFonts w:ascii="Times New Roman" w:hAnsi="Times New Roman" w:cs="Times New Roman"/>
          <w:sz w:val="24"/>
          <w:szCs w:val="24"/>
        </w:rPr>
        <w:t xml:space="preserve">maximum-likelihood method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5109E">
        <w:rPr>
          <w:rFonts w:ascii="Times New Roman" w:hAnsi="Times New Roman" w:cs="Times New Roman"/>
          <w:sz w:val="24"/>
          <w:szCs w:val="24"/>
        </w:rPr>
        <w:t>JC</w:t>
      </w:r>
      <w:r w:rsidRPr="00664146">
        <w:rPr>
          <w:rFonts w:ascii="Times New Roman" w:hAnsi="Times New Roman" w:cs="Times New Roman"/>
          <w:sz w:val="24"/>
          <w:szCs w:val="24"/>
        </w:rPr>
        <w:t xml:space="preserve"> model and 1000 bootstrap replicates. Only bootstrap values &gt;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64146">
        <w:rPr>
          <w:rFonts w:ascii="Times New Roman" w:hAnsi="Times New Roman" w:cs="Times New Roman"/>
          <w:sz w:val="24"/>
          <w:szCs w:val="24"/>
        </w:rPr>
        <w:t>0% are shown.</w:t>
      </w:r>
      <w:r>
        <w:rPr>
          <w:rFonts w:ascii="Times New Roman" w:hAnsi="Times New Roman" w:cs="Times New Roman"/>
          <w:sz w:val="24"/>
          <w:szCs w:val="24"/>
        </w:rPr>
        <w:t xml:space="preserve"> Virus from this study is labeled with a blue star. </w:t>
      </w:r>
      <w:proofErr w:type="gramStart"/>
      <w:r w:rsidRPr="00D51F5D">
        <w:rPr>
          <w:rFonts w:ascii="Times New Roman" w:hAnsi="Times New Roman" w:cs="Times New Roman"/>
          <w:sz w:val="24"/>
          <w:szCs w:val="24"/>
        </w:rPr>
        <w:t>IBV, infectious bronchitis virus</w:t>
      </w:r>
      <w:r>
        <w:rPr>
          <w:rFonts w:ascii="Times New Roman" w:hAnsi="Times New Roman" w:cs="Times New Roman"/>
          <w:sz w:val="24"/>
          <w:szCs w:val="24"/>
        </w:rPr>
        <w:t xml:space="preserve">; HKU10, </w:t>
      </w:r>
      <w:r w:rsidRPr="001B6E8E">
        <w:rPr>
          <w:rFonts w:ascii="Times New Roman" w:hAnsi="Times New Roman" w:cs="Times New Roman"/>
          <w:i/>
          <w:iCs/>
          <w:sz w:val="24"/>
          <w:szCs w:val="24"/>
        </w:rPr>
        <w:t xml:space="preserve">Bat coronavirus </w:t>
      </w:r>
      <w:r w:rsidRPr="00F1323E">
        <w:rPr>
          <w:rFonts w:ascii="Times New Roman" w:hAnsi="Times New Roman" w:cs="Times New Roman"/>
          <w:iCs/>
          <w:sz w:val="24"/>
          <w:szCs w:val="24"/>
        </w:rPr>
        <w:t>HKU10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143">
        <w:rPr>
          <w:rFonts w:ascii="Times New Roman" w:hAnsi="Times New Roman" w:cs="Times New Roman"/>
          <w:sz w:val="24"/>
          <w:szCs w:val="24"/>
        </w:rPr>
        <w:t xml:space="preserve">The background colors are labeled with </w:t>
      </w:r>
      <w:r>
        <w:rPr>
          <w:rFonts w:ascii="Times New Roman" w:hAnsi="Times New Roman" w:cs="Times New Roman" w:hint="eastAsia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neages respectively.</w:t>
      </w:r>
    </w:p>
    <w:p w:rsidR="00EE4D71" w:rsidRDefault="00EE4D71" w:rsidP="00EE4D7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4D71" w:rsidRDefault="00EE4D71" w:rsidP="00EE4D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02B092" wp14:editId="263CB405">
            <wp:extent cx="5274310" cy="12172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71" w:rsidRPr="007C736D" w:rsidRDefault="00EE4D71" w:rsidP="00EE4D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6AAA">
        <w:rPr>
          <w:rFonts w:ascii="Times New Roman" w:hAnsi="Times New Roman" w:cs="Times New Roman" w:hint="eastAsia"/>
          <w:b/>
          <w:sz w:val="24"/>
          <w:szCs w:val="24"/>
        </w:rPr>
        <w:t>Supplementary F</w:t>
      </w:r>
      <w:r w:rsidRPr="00046AAA">
        <w:rPr>
          <w:rFonts w:ascii="Times New Roman" w:hAnsi="Times New Roman" w:cs="Times New Roman"/>
          <w:b/>
          <w:sz w:val="24"/>
          <w:szCs w:val="24"/>
        </w:rPr>
        <w:t>ig.</w:t>
      </w:r>
      <w:proofErr w:type="gramEnd"/>
      <w:r w:rsidRPr="00046AAA">
        <w:rPr>
          <w:rFonts w:ascii="Times New Roman" w:hAnsi="Times New Roman" w:cs="Times New Roman"/>
          <w:b/>
          <w:sz w:val="24"/>
          <w:szCs w:val="24"/>
        </w:rPr>
        <w:t xml:space="preserve"> S2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B0607A">
        <w:rPr>
          <w:rFonts w:ascii="Times New Roman" w:hAnsi="Times New Roman" w:cs="Times New Roman"/>
          <w:sz w:val="24"/>
          <w:szCs w:val="24"/>
        </w:rPr>
        <w:t>schematic diagram</w:t>
      </w:r>
      <w:r>
        <w:rPr>
          <w:rFonts w:ascii="Times New Roman" w:hAnsi="Times New Roman" w:cs="Times New Roman"/>
          <w:sz w:val="24"/>
          <w:szCs w:val="24"/>
        </w:rPr>
        <w:t xml:space="preserve"> showing a</w:t>
      </w:r>
      <w:r w:rsidRPr="00B0607A">
        <w:rPr>
          <w:rFonts w:ascii="Times New Roman" w:hAnsi="Times New Roman" w:cs="Times New Roman"/>
          <w:sz w:val="24"/>
          <w:szCs w:val="24"/>
        </w:rPr>
        <w:t>lignment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0607A">
        <w:rPr>
          <w:rFonts w:ascii="Times New Roman" w:hAnsi="Times New Roman" w:cs="Times New Roman"/>
          <w:sz w:val="24"/>
          <w:szCs w:val="24"/>
        </w:rPr>
        <w:t>spike protein cleavage site</w:t>
      </w:r>
      <w:r>
        <w:rPr>
          <w:rFonts w:ascii="Times New Roman" w:hAnsi="Times New Roman" w:cs="Times New Roman"/>
          <w:sz w:val="24"/>
          <w:szCs w:val="24"/>
        </w:rPr>
        <w:t xml:space="preserve">s between </w:t>
      </w:r>
      <w:r w:rsidRPr="00B0607A">
        <w:rPr>
          <w:rFonts w:ascii="Times New Roman" w:hAnsi="Times New Roman" w:cs="Times New Roman"/>
          <w:sz w:val="24"/>
          <w:szCs w:val="24"/>
        </w:rPr>
        <w:t xml:space="preserve">Bat </w:t>
      </w:r>
      <w:proofErr w:type="spellStart"/>
      <w:r w:rsidRPr="00B0607A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B0607A">
        <w:rPr>
          <w:rFonts w:ascii="Times New Roman" w:hAnsi="Times New Roman" w:cs="Times New Roman"/>
          <w:sz w:val="24"/>
          <w:szCs w:val="24"/>
        </w:rPr>
        <w:t xml:space="preserve"> CD35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0607A">
        <w:rPr>
          <w:rFonts w:ascii="Times New Roman" w:hAnsi="Times New Roman" w:cs="Times New Roman"/>
          <w:sz w:val="24"/>
          <w:szCs w:val="24"/>
        </w:rPr>
        <w:t>other human coronaviruses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539">
        <w:rPr>
          <w:rFonts w:ascii="Times New Roman" w:hAnsi="Times New Roman" w:cs="Times New Roman"/>
          <w:sz w:val="24"/>
          <w:szCs w:val="24"/>
        </w:rPr>
        <w:t>Cleavage sites are indicated by arrows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36D">
        <w:rPr>
          <w:rFonts w:ascii="Times New Roman" w:hAnsi="Times New Roman" w:cs="Times New Roman"/>
          <w:sz w:val="24"/>
          <w:szCs w:val="24"/>
        </w:rPr>
        <w:t>The strictly conserved residues in the column are labeled using white characters on a red background. The red characters on a white background within blue frames are colored when the similarity global score is greater than 0.7.</w:t>
      </w:r>
    </w:p>
    <w:p w:rsidR="00BF5BE5" w:rsidRPr="00EE4D71" w:rsidRDefault="00BF5BE5" w:rsidP="00986D4C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F5BE5" w:rsidRPr="00EE4D71" w:rsidSect="0098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0E" w:rsidRDefault="00D2160E" w:rsidP="000761B5">
      <w:r>
        <w:separator/>
      </w:r>
    </w:p>
  </w:endnote>
  <w:endnote w:type="continuationSeparator" w:id="0">
    <w:p w:rsidR="00D2160E" w:rsidRDefault="00D2160E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0E" w:rsidRDefault="00D2160E" w:rsidP="000761B5">
      <w:r>
        <w:separator/>
      </w:r>
    </w:p>
  </w:footnote>
  <w:footnote w:type="continuationSeparator" w:id="0">
    <w:p w:rsidR="00D2160E" w:rsidRDefault="00D2160E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E4D71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E4D71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01F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A677F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86D4C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D66C0"/>
    <w:rsid w:val="00CE7341"/>
    <w:rsid w:val="00D16FC1"/>
    <w:rsid w:val="00D2160E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EE4D7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jing@icdc.cn" TargetMode="External"/><Relationship Id="rId13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shan@icdc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406</Words>
  <Characters>2315</Characters>
  <Application>Microsoft Office Word</Application>
  <DocSecurity>0</DocSecurity>
  <Lines>19</Lines>
  <Paragraphs>5</Paragraphs>
  <ScaleCrop>false</ScaleCrop>
  <Company>whiov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4</cp:revision>
  <cp:lastPrinted>2022-01-04T07:37:00Z</cp:lastPrinted>
  <dcterms:created xsi:type="dcterms:W3CDTF">2023-04-24T04:01:00Z</dcterms:created>
  <dcterms:modified xsi:type="dcterms:W3CDTF">2023-04-24T04:04:00Z</dcterms:modified>
</cp:coreProperties>
</file>