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79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sz w:val="22"/>
          <w:szCs w:val="22"/>
          <w:lang w:eastAsia="zh-CN"/>
        </w:rPr>
      </w:pPr>
      <w:r w:rsidRPr="0091143B">
        <w:rPr>
          <w:rFonts w:ascii="Times New Roman" w:hAnsi="Times New Roman"/>
          <w:b/>
          <w:sz w:val="22"/>
          <w:szCs w:val="22"/>
        </w:rPr>
        <w:t>SUPPLEMENTARY MATERIALS</w:t>
      </w:r>
    </w:p>
    <w:p w:rsidR="00B64F79" w:rsidRPr="00934FCC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snapToGrid/>
          <w:sz w:val="22"/>
          <w:szCs w:val="22"/>
          <w:lang w:val="en-IN" w:eastAsia="en-IN" w:bidi="ar-SA"/>
        </w:rPr>
        <w:drawing>
          <wp:inline distT="0" distB="0" distL="0" distR="0">
            <wp:extent cx="4678680" cy="2164080"/>
            <wp:effectExtent l="0" t="0" r="0" b="0"/>
            <wp:docPr id="1" name="图片 6" descr="C:\Users\dell\Desktop\编辑加工\5008 阮强\to prod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编辑加工\5008 阮强\to prod\Figure_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79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napToGrid/>
          <w:sz w:val="22"/>
          <w:szCs w:val="22"/>
          <w:lang w:eastAsia="zh-CN"/>
        </w:rPr>
      </w:pPr>
      <w:r w:rsidRPr="00B14012">
        <w:rPr>
          <w:rFonts w:ascii="Times New Roman" w:hAnsi="Times New Roman"/>
          <w:b/>
          <w:bCs/>
          <w:sz w:val="22"/>
          <w:szCs w:val="22"/>
        </w:rPr>
        <w:t>Fig.S1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14012">
        <w:rPr>
          <w:rFonts w:ascii="Times New Roman" w:hAnsi="Times New Roman"/>
          <w:b/>
          <w:bCs/>
          <w:snapToGrid/>
          <w:sz w:val="22"/>
          <w:szCs w:val="22"/>
        </w:rPr>
        <w:t>RNA antisense purification against circSP100</w:t>
      </w:r>
      <w:r>
        <w:rPr>
          <w:rFonts w:ascii="Times New Roman" w:eastAsiaTheme="minorEastAsia" w:hAnsi="Times New Roman" w:hint="eastAsia"/>
          <w:b/>
          <w:bCs/>
          <w:snapToGrid/>
          <w:sz w:val="22"/>
          <w:szCs w:val="22"/>
          <w:lang w:eastAsia="zh-CN"/>
        </w:rPr>
        <w:t>.</w:t>
      </w:r>
    </w:p>
    <w:p w:rsidR="00B64F79" w:rsidRPr="00934FCC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napToGrid/>
          <w:sz w:val="22"/>
          <w:szCs w:val="22"/>
          <w:lang w:eastAsia="zh-CN"/>
        </w:rPr>
      </w:pPr>
      <w:bookmarkStart w:id="0" w:name="_GoBack"/>
      <w:r>
        <w:rPr>
          <w:rFonts w:ascii="Times New Roman" w:eastAsiaTheme="minorEastAsia" w:hAnsi="Times New Roman"/>
          <w:b/>
          <w:bCs/>
          <w:snapToGrid/>
          <w:sz w:val="22"/>
          <w:szCs w:val="22"/>
          <w:lang w:val="en-IN" w:eastAsia="en-IN" w:bidi="ar-SA"/>
        </w:rPr>
        <w:drawing>
          <wp:inline distT="0" distB="0" distL="0" distR="0">
            <wp:extent cx="5044440" cy="5044440"/>
            <wp:effectExtent l="0" t="0" r="0" b="0"/>
            <wp:docPr id="2" name="图片 7" descr="C:\Users\dell\Desktop\编辑加工\5008 阮强\to prod\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编辑加工\5008 阮强\to prod\Figure_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F79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</w:pPr>
      <w:r w:rsidRPr="00B14012">
        <w:rPr>
          <w:rFonts w:ascii="Times New Roman" w:hAnsi="Times New Roman"/>
          <w:b/>
          <w:bCs/>
          <w:snapToGrid/>
          <w:sz w:val="22"/>
          <w:szCs w:val="22"/>
        </w:rPr>
        <w:lastRenderedPageBreak/>
        <w:t>Fig.S2</w:t>
      </w:r>
      <w:r>
        <w:rPr>
          <w:rFonts w:ascii="Times New Roman" w:hAnsi="Times New Roman"/>
          <w:b/>
          <w:bCs/>
          <w:snapToGrid/>
          <w:sz w:val="22"/>
          <w:szCs w:val="22"/>
        </w:rPr>
        <w:t xml:space="preserve"> </w:t>
      </w:r>
      <w:r w:rsidRPr="00B14012">
        <w:rPr>
          <w:rFonts w:ascii="Times New Roman" w:hAnsi="Times New Roman"/>
          <w:b/>
          <w:bCs/>
          <w:snapToGrid/>
          <w:sz w:val="22"/>
          <w:szCs w:val="22"/>
        </w:rPr>
        <w:t>CircSP100 inhibits DNA-PK mediated innate immun</w:t>
      </w:r>
      <w:r w:rsidRPr="00B14012">
        <w:rPr>
          <w:rFonts w:ascii="Times New Roman" w:hAnsi="Times New Roman"/>
          <w:b/>
          <w:bCs/>
          <w:sz w:val="22"/>
          <w:szCs w:val="22"/>
        </w:rPr>
        <w:t>e response in HCMV infected HELF cells</w:t>
      </w:r>
    </w:p>
    <w:p w:rsidR="00B64F79" w:rsidRPr="00934FCC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</w:p>
    <w:p w:rsidR="00B64F79" w:rsidRPr="00B60516" w:rsidRDefault="00B64F79" w:rsidP="00B64F79">
      <w:pPr>
        <w:spacing w:line="360" w:lineRule="auto"/>
        <w:rPr>
          <w:rFonts w:eastAsia="SimSun"/>
          <w:color w:val="333333"/>
          <w:sz w:val="27"/>
          <w:szCs w:val="27"/>
          <w:lang w:eastAsia="zh-CN"/>
        </w:rPr>
      </w:pPr>
      <w:r w:rsidRPr="00B14012">
        <w:rPr>
          <w:b/>
          <w:bCs/>
        </w:rPr>
        <w:t>Table S1. Primers used in RT-PCR, northern blot, RT-qPCR, and subcellular fractionation</w:t>
      </w:r>
      <w:r>
        <w:rPr>
          <w:rFonts w:eastAsiaTheme="minorEastAsia" w:hint="eastAsia"/>
          <w:b/>
          <w:bCs/>
          <w:lang w:eastAsia="zh-CN"/>
        </w:rPr>
        <w:br/>
      </w:r>
      <w:bookmarkStart w:id="1" w:name="_Hlk31759432"/>
      <w:bookmarkStart w:id="2" w:name="_Hlk31759533"/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657"/>
        <w:gridCol w:w="992"/>
      </w:tblGrid>
      <w:tr w:rsidR="00B64F79" w:rsidRPr="00BF3193" w:rsidTr="008E2387">
        <w:trPr>
          <w:trHeight w:val="56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bookmarkEnd w:id="1"/>
          <w:bookmarkEnd w:id="2"/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 xml:space="preserve">Primer 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Sequence (5'</w:t>
            </w:r>
            <w:r w:rsidRPr="00934FCC">
              <w:rPr>
                <w:rFonts w:eastAsia="Adobe 仿宋 Std R" w:hint="eastAsia"/>
                <w:sz w:val="21"/>
                <w:szCs w:val="21"/>
              </w:rPr>
              <w:t>→</w:t>
            </w:r>
            <w:r w:rsidRPr="00934FCC">
              <w:rPr>
                <w:rFonts w:eastAsia="等线"/>
                <w:sz w:val="21"/>
                <w:szCs w:val="21"/>
              </w:rPr>
              <w:t>3')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Product</w:t>
            </w:r>
          </w:p>
        </w:tc>
      </w:tr>
      <w:tr w:rsidR="00B64F79" w:rsidRPr="00BF3193" w:rsidTr="008E2387">
        <w:trPr>
          <w:trHeight w:val="285"/>
        </w:trPr>
        <w:tc>
          <w:tcPr>
            <w:tcW w:w="9917" w:type="dxa"/>
            <w:gridSpan w:val="3"/>
            <w:shd w:val="clear" w:color="auto" w:fill="auto"/>
            <w:noWrap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b/>
                <w:bCs/>
                <w:sz w:val="21"/>
                <w:szCs w:val="21"/>
              </w:rPr>
              <w:t xml:space="preserve">RT-PCR </w:t>
            </w:r>
          </w:p>
        </w:tc>
      </w:tr>
      <w:tr w:rsidR="00B64F79" w:rsidRPr="00BF3193" w:rsidTr="008E2387">
        <w:trPr>
          <w:trHeight w:val="28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circPLEKHM1-F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GCTTCAGGTAGCACTCCATCAGG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208 bp</w:t>
            </w:r>
          </w:p>
        </w:tc>
      </w:tr>
      <w:tr w:rsidR="00B64F79" w:rsidRPr="00BF3193" w:rsidTr="008E2387">
        <w:trPr>
          <w:trHeight w:val="270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circPLEKHM1-R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GGCTCCAAGAGTCCAGACCATTG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circSP100-F1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GCCTCCAACTAAGTCTTGAACAAGG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713 bp</w:t>
            </w: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circSP100-R1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CAGACCTCTCCTCCCTCTCTT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circTRIO-F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GGAATGTGACCCCGAAGAGAT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209 bp</w:t>
            </w: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circTRIO-R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TTGTCAGGGAATCGGAGCTGCCG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circMAP3K1-F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GCTCCATCTCGTAACACCATCCAG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182 bp</w:t>
            </w:r>
          </w:p>
        </w:tc>
      </w:tr>
      <w:tr w:rsidR="00B64F79" w:rsidRPr="00BF3193" w:rsidTr="008E2387">
        <w:trPr>
          <w:trHeight w:val="278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circMAP3K1-R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GCGGTTTGTTTCCTCAGGGCTAT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8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linear SP100-F1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CCAGGAGGCTGAATGAATGT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530 bp</w:t>
            </w:r>
          </w:p>
        </w:tc>
      </w:tr>
      <w:tr w:rsidR="00B64F79" w:rsidRPr="00BF3193" w:rsidTr="008E2387">
        <w:trPr>
          <w:trHeight w:val="285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lastRenderedPageBreak/>
              <w:t>linear SP100-R1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CCAAGTCAGGCTTCGAAAAG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8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GAPDH-F1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TGGTGAAGACGCCAGTGGA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137 bp</w:t>
            </w:r>
          </w:p>
        </w:tc>
      </w:tr>
      <w:tr w:rsidR="00B64F79" w:rsidRPr="00BF3193" w:rsidTr="008E2387">
        <w:trPr>
          <w:trHeight w:val="293"/>
        </w:trPr>
        <w:tc>
          <w:tcPr>
            <w:tcW w:w="2268" w:type="dxa"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GAPDH-R1</w:t>
            </w:r>
          </w:p>
        </w:tc>
        <w:tc>
          <w:tcPr>
            <w:tcW w:w="6657" w:type="dxa"/>
            <w:shd w:val="clear" w:color="auto" w:fill="auto"/>
            <w:noWrap/>
            <w:vAlign w:val="bottom"/>
            <w:hideMark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GCACCGTCAAGGCTGAGAAC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93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b/>
                <w:bCs/>
                <w:sz w:val="21"/>
                <w:szCs w:val="21"/>
              </w:rPr>
              <w:t>Northern bolt</w:t>
            </w: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sense F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TAATACGACTCACTATAGGGGATTCGCTAGGAAGCCAACAA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420 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sense R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CTTCTCCAGTTCACTAAGAACATTG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antisense F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GATTCGCTAGGAAGCCAACAA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420 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antisense R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TAATACGACTCACTATAGGGCTTCTCCAGTTCACTAAGAACATTG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93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b/>
                <w:bCs/>
                <w:sz w:val="21"/>
                <w:szCs w:val="21"/>
              </w:rPr>
              <w:t>RT-qPCR</w:t>
            </w: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circSP100-F2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GATGAAGAAAGATGTTCACGG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120 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circSP100-R2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GAAATGTCTTTTTTATTGCATTTG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linear SP100-F2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AACAAGAACCCGTGGAGTTG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320bp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linear SP100-R2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ATGTCCTGCACAAACCCTTC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93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  <w:lang w:eastAsia="zh-CN"/>
              </w:rPr>
            </w:pPr>
            <w:r w:rsidRPr="00934FCC">
              <w:rPr>
                <w:rFonts w:eastAsia="等线"/>
                <w:b/>
                <w:bCs/>
                <w:sz w:val="21"/>
                <w:szCs w:val="21"/>
              </w:rPr>
              <w:t>Subcellular fractionation</w:t>
            </w:r>
            <w:r w:rsidRPr="00934FCC">
              <w:rPr>
                <w:rFonts w:eastAsia="等线"/>
                <w:b/>
                <w:bCs/>
                <w:sz w:val="21"/>
                <w:szCs w:val="21"/>
                <w:lang w:eastAsia="zh-CN"/>
              </w:rPr>
              <w:t>, RAP control</w:t>
            </w: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GAPDH-F2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GTCATCAATGGAAATCCCATCA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320 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GAPDH-R2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TGAGTCCTTCCACGATACC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488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circSP100-F3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GATTCGCTAGGAAGCCAACAA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380 bp</w:t>
            </w:r>
          </w:p>
        </w:tc>
      </w:tr>
      <w:tr w:rsidR="00B64F79" w:rsidRPr="00BF3193" w:rsidTr="008E2387">
        <w:trPr>
          <w:trHeight w:val="487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circSP100-R3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CTTCTCCAGTTCACTAAGAACATTG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  <w:tr w:rsidR="00B64F79" w:rsidRPr="00BF3193" w:rsidTr="008E2387">
        <w:trPr>
          <w:trHeight w:val="293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U2 snRNA-F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ATCTGATACGTCCTCTATCCGA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108bp</w:t>
            </w:r>
          </w:p>
        </w:tc>
      </w:tr>
      <w:tr w:rsidR="00B64F79" w:rsidRPr="00BF3193" w:rsidTr="008E2387">
        <w:trPr>
          <w:trHeight w:val="293"/>
        </w:trPr>
        <w:tc>
          <w:tcPr>
            <w:tcW w:w="2268" w:type="dxa"/>
            <w:shd w:val="clear" w:color="auto" w:fill="auto"/>
            <w:vAlign w:val="center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U2 snRNA-R</w:t>
            </w:r>
          </w:p>
        </w:tc>
        <w:tc>
          <w:tcPr>
            <w:tcW w:w="6657" w:type="dxa"/>
            <w:shd w:val="clear" w:color="auto" w:fill="auto"/>
            <w:noWrap/>
            <w:vAlign w:val="bottom"/>
          </w:tcPr>
          <w:p w:rsidR="00B64F79" w:rsidRPr="00934FCC" w:rsidRDefault="00B64F79" w:rsidP="008E2387">
            <w:pPr>
              <w:spacing w:line="300" w:lineRule="exact"/>
              <w:rPr>
                <w:rFonts w:eastAsia="等线"/>
                <w:sz w:val="21"/>
                <w:szCs w:val="21"/>
              </w:rPr>
            </w:pPr>
            <w:r w:rsidRPr="00934FCC">
              <w:rPr>
                <w:rFonts w:eastAsia="等线"/>
                <w:sz w:val="21"/>
                <w:szCs w:val="21"/>
              </w:rPr>
              <w:t>CTGCAATACCAGGTCGATGC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64F79" w:rsidRPr="00934FCC" w:rsidRDefault="00B64F79" w:rsidP="008E2387">
            <w:pPr>
              <w:adjustRightInd w:val="0"/>
              <w:snapToGrid w:val="0"/>
              <w:spacing w:line="300" w:lineRule="exact"/>
              <w:rPr>
                <w:rFonts w:eastAsia="等线"/>
                <w:sz w:val="21"/>
                <w:szCs w:val="21"/>
              </w:rPr>
            </w:pPr>
          </w:p>
        </w:tc>
      </w:tr>
    </w:tbl>
    <w:p w:rsidR="00B64F79" w:rsidRPr="00FC3D27" w:rsidRDefault="00B64F79" w:rsidP="00B64F79">
      <w:pPr>
        <w:spacing w:line="360" w:lineRule="auto"/>
        <w:rPr>
          <w:rFonts w:eastAsiaTheme="minorEastAsia"/>
          <w:b/>
          <w:bCs/>
          <w:lang w:eastAsia="zh-CN"/>
        </w:rPr>
      </w:pPr>
      <w:r w:rsidRPr="00FC3D27">
        <w:rPr>
          <w:rFonts w:eastAsia="SimSun"/>
          <w:color w:val="333333"/>
          <w:lang w:eastAsia="zh-CN"/>
        </w:rPr>
        <w:t>Primers listed above are related to Figure 3, Figure 4, and Figure S1.</w:t>
      </w:r>
    </w:p>
    <w:p w:rsidR="00B64F79" w:rsidRDefault="00B64F79" w:rsidP="00B64F79">
      <w:pPr>
        <w:pStyle w:val="MDPI61Supplementary"/>
        <w:spacing w:line="360" w:lineRule="auto"/>
        <w:rPr>
          <w:rFonts w:ascii="Times New Roman" w:hAnsi="Times New Roman"/>
          <w:b/>
          <w:bCs/>
          <w:snapToGrid/>
          <w:sz w:val="22"/>
          <w:szCs w:val="22"/>
        </w:rPr>
        <w:sectPr w:rsidR="00B64F79" w:rsidSect="0031096D">
          <w:headerReference w:type="even" r:id="rId6"/>
          <w:headerReference w:type="default" r:id="rId7"/>
          <w:footerReference w:type="default" r:id="rId8"/>
          <w:footerReference w:type="first" r:id="rId9"/>
          <w:pgSz w:w="11906" w:h="16838" w:code="9"/>
          <w:pgMar w:top="1417" w:right="1531" w:bottom="1077" w:left="1531" w:header="1020" w:footer="850" w:gutter="0"/>
          <w:pgNumType w:start="1"/>
          <w:cols w:space="425"/>
          <w:titlePg/>
          <w:docGrid w:type="lines" w:linePitch="326"/>
        </w:sectPr>
      </w:pPr>
    </w:p>
    <w:p w:rsidR="00B64F79" w:rsidRPr="00590841" w:rsidRDefault="00B64F79" w:rsidP="00B64F79">
      <w:pPr>
        <w:pStyle w:val="MDPI61Supplementary"/>
        <w:spacing w:line="360" w:lineRule="auto"/>
        <w:rPr>
          <w:rFonts w:eastAsia="SimSun"/>
          <w:color w:val="333333"/>
          <w:sz w:val="27"/>
          <w:szCs w:val="27"/>
          <w:lang w:eastAsia="zh-CN"/>
        </w:rPr>
      </w:pPr>
      <w:r w:rsidRPr="00B14012">
        <w:rPr>
          <w:rFonts w:ascii="Times New Roman" w:hAnsi="Times New Roman"/>
          <w:b/>
          <w:bCs/>
          <w:snapToGrid/>
          <w:sz w:val="22"/>
          <w:szCs w:val="22"/>
        </w:rPr>
        <w:lastRenderedPageBreak/>
        <w:t>Table S2. Primers used for RNA probe preparation in RNA antisense purification assay.</w:t>
      </w:r>
      <w:bookmarkStart w:id="3" w:name="_Hlk317598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085"/>
        <w:gridCol w:w="4459"/>
      </w:tblGrid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bookmarkEnd w:id="3"/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 xml:space="preserve">Primer 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Forward (5'</w:t>
            </w:r>
            <w:r w:rsidRPr="00590841">
              <w:rPr>
                <w:rFonts w:eastAsia="Adobe 仿宋 Std R"/>
                <w:sz w:val="20"/>
              </w:rPr>
              <w:t>→</w:t>
            </w:r>
            <w:r w:rsidRPr="00590841">
              <w:rPr>
                <w:rFonts w:eastAsia="等线"/>
                <w:sz w:val="20"/>
              </w:rPr>
              <w:t>3')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Reverse (5'</w:t>
            </w:r>
            <w:r w:rsidRPr="00590841">
              <w:rPr>
                <w:rFonts w:eastAsia="Adobe 仿宋 Std R"/>
                <w:sz w:val="20"/>
              </w:rPr>
              <w:t>→</w:t>
            </w:r>
            <w:r w:rsidRPr="00590841">
              <w:rPr>
                <w:rFonts w:eastAsia="等线"/>
                <w:sz w:val="20"/>
              </w:rPr>
              <w:t>3')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P1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TGCAGGGGGAGTTTTATTTGATGTGCTCAAAAGGCTGA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AGACTGCCACGGTCATAAGCCGTGAACATCTTTCTTCATCA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P2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TGCAGGGGGAGTTTTATTTGAAGGCTGAGCCAACAGA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AGACTGCCACGGTCATAAGCCCTGGTCTTCCGTGAACA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P3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TGCAGGGGGAGTTTTATTTGCAACAGAGTCCTGCGAAC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AGACTGCCACGGTCATAAGCTCATCTACACCCTGGTCTTC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P4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TGCAGGGGGAGTTTTATTTGCTGCGAACAAATTGCTGT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AGACTGCCACGGTCATAAGCGAGCAGCCTGTCATCTAC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P5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TGCAGGGGGAGTTTTATTTGATTGCTGTCCAAGTGAATAATG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AGACTGCCACGGTCATAAGCCAATGTCATAGAGCAGCCT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P6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TGCAGGGGGAGTTTTATTTGAAGTGAATAATGGGGATGCT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AGACTGCCACGGTCATAAGCTGCTTGAATACAATGTCATAGAG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P7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TGCAGGGGGAGTTTTATTTGAATGGGGATGCTGGAAGG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AGACTGCCACGGTCATAAGCTCTTTTGAAGTGCTTGAATACAA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P8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TGCAGGGGGAGTTTTATTTGGGAAGGGAGATGCCCTG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AGACTGCCACGGTCATAAGCCCACCTTATTTCTTTTGAAGTG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P9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TGCAGGGGGAGTTTTATTTGAGATGCCCTGCCCGTT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AGACTGCCACGGTCATAAGCTTTGAAATCTCCACCTTATTTCTT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P10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TGCAGGGGGAGTTTTATTTGGTTGCCCTGTGATGAAGAA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AGACTGCCACGGTCATAAGCTTTTATTGCATTTGAAATCTCCAC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P11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 GATGAAGAAAGATGTTCACGG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AGACTGCCACGGTCATAAGCGAAATGTCTTTTTTATTGCATTTG</w:t>
            </w:r>
          </w:p>
        </w:tc>
      </w:tr>
      <w:tr w:rsidR="00B64F79" w:rsidRPr="00590841" w:rsidTr="00B64F79">
        <w:trPr>
          <w:trHeight w:val="278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Tag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TGCAGGGGGAGTTTTATTTG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AGACTGCCACGGTCATAAGC</w:t>
            </w:r>
          </w:p>
        </w:tc>
      </w:tr>
      <w:tr w:rsidR="00B64F79" w:rsidRPr="00590841" w:rsidTr="00B64F79">
        <w:trPr>
          <w:trHeight w:val="285"/>
        </w:trPr>
        <w:tc>
          <w:tcPr>
            <w:tcW w:w="381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Tag+T7</w:t>
            </w:r>
          </w:p>
        </w:tc>
        <w:tc>
          <w:tcPr>
            <w:tcW w:w="2418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ind w:firstLineChars="400" w:firstLine="800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——————</w:t>
            </w:r>
          </w:p>
        </w:tc>
        <w:tc>
          <w:tcPr>
            <w:tcW w:w="2200" w:type="pct"/>
            <w:shd w:val="clear" w:color="auto" w:fill="auto"/>
            <w:noWrap/>
            <w:vAlign w:val="bottom"/>
            <w:hideMark/>
          </w:tcPr>
          <w:p w:rsidR="00B64F79" w:rsidRPr="00590841" w:rsidRDefault="00B64F79" w:rsidP="008E2387">
            <w:pPr>
              <w:spacing w:line="300" w:lineRule="exact"/>
              <w:rPr>
                <w:rFonts w:eastAsia="等线"/>
                <w:sz w:val="20"/>
              </w:rPr>
            </w:pPr>
            <w:r w:rsidRPr="00590841">
              <w:rPr>
                <w:rFonts w:eastAsia="等线"/>
                <w:sz w:val="20"/>
              </w:rPr>
              <w:t>GGATTCTAATACGACTCACTATAGGGAGACTGCCACGGTCATAAGC</w:t>
            </w:r>
          </w:p>
        </w:tc>
      </w:tr>
    </w:tbl>
    <w:p w:rsidR="00B64F79" w:rsidRPr="00590841" w:rsidRDefault="00B64F79" w:rsidP="00B64F79">
      <w:pPr>
        <w:spacing w:line="360" w:lineRule="auto"/>
        <w:rPr>
          <w:rFonts w:eastAsia="SimSun"/>
          <w:color w:val="333333"/>
          <w:sz w:val="27"/>
          <w:szCs w:val="27"/>
          <w:lang w:eastAsia="zh-CN"/>
        </w:rPr>
      </w:pPr>
      <w:r w:rsidRPr="00590841">
        <w:rPr>
          <w:rFonts w:eastAsia="SimSun"/>
          <w:color w:val="333333"/>
          <w:sz w:val="27"/>
          <w:szCs w:val="27"/>
          <w:lang w:eastAsia="zh-CN"/>
        </w:rPr>
        <w:t>Primers listed above are related to Figure 5 and Figure S1.</w:t>
      </w:r>
    </w:p>
    <w:p w:rsidR="00B64F79" w:rsidRPr="00934FCC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napToGrid/>
          <w:sz w:val="22"/>
          <w:szCs w:val="22"/>
          <w:lang w:eastAsia="zh-CN"/>
        </w:rPr>
      </w:pPr>
    </w:p>
    <w:p w:rsidR="00B64F79" w:rsidRPr="00934FCC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z w:val="22"/>
          <w:szCs w:val="22"/>
          <w:lang w:eastAsia="zh-CN"/>
        </w:rPr>
      </w:pPr>
      <w:r w:rsidRPr="00B14012">
        <w:rPr>
          <w:rFonts w:ascii="Times New Roman" w:hAnsi="Times New Roman"/>
          <w:b/>
          <w:bCs/>
          <w:sz w:val="22"/>
          <w:szCs w:val="22"/>
        </w:rPr>
        <w:t>Table S3. List of circRNAs detected by RNA-seq in mock-infected and HCMV-infected HELFs</w:t>
      </w:r>
      <w:r>
        <w:rPr>
          <w:rFonts w:ascii="Times New Roman" w:eastAsiaTheme="minorEastAsia" w:hAnsi="Times New Roman" w:hint="eastAsia"/>
          <w:b/>
          <w:bCs/>
          <w:sz w:val="22"/>
          <w:szCs w:val="22"/>
          <w:lang w:eastAsia="zh-CN"/>
        </w:rPr>
        <w:br/>
      </w:r>
    </w:p>
    <w:p w:rsidR="00B64F79" w:rsidRDefault="00B64F79" w:rsidP="00B64F79">
      <w:pPr>
        <w:pStyle w:val="MDPI61Supplementary"/>
        <w:spacing w:line="360" w:lineRule="auto"/>
        <w:rPr>
          <w:rFonts w:ascii="Times New Roman" w:eastAsiaTheme="minorEastAsia" w:hAnsi="Times New Roman"/>
          <w:b/>
          <w:bCs/>
          <w:snapToGrid/>
          <w:sz w:val="22"/>
          <w:szCs w:val="22"/>
          <w:lang w:eastAsia="zh-CN"/>
        </w:rPr>
      </w:pPr>
      <w:r w:rsidRPr="00B14012">
        <w:rPr>
          <w:rFonts w:ascii="Times New Roman" w:hAnsi="Times New Roman"/>
          <w:b/>
          <w:bCs/>
          <w:snapToGrid/>
          <w:sz w:val="22"/>
          <w:szCs w:val="22"/>
        </w:rPr>
        <w:lastRenderedPageBreak/>
        <w:t>Table S4. Detail</w:t>
      </w:r>
      <w:r>
        <w:rPr>
          <w:rFonts w:ascii="Times New Roman" w:hAnsi="Times New Roman" w:hint="eastAsia"/>
          <w:b/>
          <w:bCs/>
          <w:snapToGrid/>
          <w:sz w:val="22"/>
          <w:szCs w:val="22"/>
          <w:lang w:eastAsia="zh-CN"/>
        </w:rPr>
        <w:t>ed</w:t>
      </w:r>
      <w:r w:rsidRPr="00B14012">
        <w:rPr>
          <w:rFonts w:ascii="Times New Roman" w:hAnsi="Times New Roman"/>
          <w:b/>
          <w:bCs/>
          <w:snapToGrid/>
          <w:sz w:val="22"/>
          <w:szCs w:val="22"/>
        </w:rPr>
        <w:t xml:space="preserve"> information </w:t>
      </w:r>
      <w:r>
        <w:rPr>
          <w:rFonts w:ascii="Times New Roman" w:hAnsi="Times New Roman"/>
          <w:b/>
          <w:bCs/>
          <w:snapToGrid/>
          <w:sz w:val="22"/>
          <w:szCs w:val="22"/>
        </w:rPr>
        <w:t>about</w:t>
      </w:r>
      <w:r w:rsidRPr="00B14012">
        <w:rPr>
          <w:rFonts w:ascii="Times New Roman" w:hAnsi="Times New Roman"/>
          <w:b/>
          <w:bCs/>
          <w:snapToGrid/>
          <w:sz w:val="22"/>
          <w:szCs w:val="22"/>
        </w:rPr>
        <w:t xml:space="preserve"> circSP100 binding proteins captured by RAP in un-crosslinked and UV-crosslinked</w:t>
      </w:r>
      <w:r>
        <w:rPr>
          <w:rFonts w:ascii="Times New Roman" w:hAnsi="Times New Roman"/>
          <w:b/>
          <w:bCs/>
          <w:snapToGrid/>
          <w:sz w:val="22"/>
          <w:szCs w:val="22"/>
        </w:rPr>
        <w:t xml:space="preserve"> </w:t>
      </w:r>
      <w:r w:rsidRPr="00B14012">
        <w:rPr>
          <w:rFonts w:ascii="Times New Roman" w:hAnsi="Times New Roman"/>
          <w:b/>
          <w:bCs/>
          <w:snapToGrid/>
          <w:sz w:val="22"/>
          <w:szCs w:val="22"/>
        </w:rPr>
        <w:t xml:space="preserve">lysis.  </w:t>
      </w:r>
    </w:p>
    <w:p w:rsidR="00561B97" w:rsidRDefault="00561B97"/>
    <w:sectPr w:rsidR="00561B97" w:rsidSect="00561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8E" w:rsidRDefault="00B64F7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B64F79">
      <w:rPr>
        <w:noProof/>
        <w:lang w:val="zh-CN" w:eastAsia="zh-CN"/>
      </w:rPr>
      <w:t>4</w:t>
    </w:r>
    <w:r>
      <w:fldChar w:fldCharType="end"/>
    </w:r>
  </w:p>
  <w:p w:rsidR="002B718E" w:rsidRPr="00D63625" w:rsidRDefault="00B64F79" w:rsidP="00D87F42">
    <w:pPr>
      <w:pStyle w:val="Footer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8E" w:rsidRPr="00372FCD" w:rsidRDefault="00B64F79" w:rsidP="00965912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372FCD">
      <w:rPr>
        <w:rFonts w:ascii="Palatino Linotype" w:hAnsi="Palatino Linotype"/>
        <w:sz w:val="16"/>
        <w:szCs w:val="16"/>
        <w:lang w:val="fr-CH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8E" w:rsidRDefault="00B64F79" w:rsidP="00D87F42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8E" w:rsidRPr="00FE092D" w:rsidRDefault="00B64F79" w:rsidP="00965912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4F79"/>
    <w:rsid w:val="00561B97"/>
    <w:rsid w:val="00A7693D"/>
    <w:rsid w:val="00B64F79"/>
    <w:rsid w:val="00E6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F79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64F79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Header">
    <w:name w:val="header"/>
    <w:basedOn w:val="Normal"/>
    <w:link w:val="HeaderChar"/>
    <w:uiPriority w:val="99"/>
    <w:rsid w:val="00B6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64F79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61Supplementary">
    <w:name w:val="MDPI_6.1_Supplementary"/>
    <w:basedOn w:val="Normal"/>
    <w:qFormat/>
    <w:rsid w:val="00B64F79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0010757</dc:creator>
  <cp:lastModifiedBy>0010757</cp:lastModifiedBy>
  <cp:revision>1</cp:revision>
  <dcterms:created xsi:type="dcterms:W3CDTF">2020-07-25T13:13:00Z</dcterms:created>
  <dcterms:modified xsi:type="dcterms:W3CDTF">2020-07-25T13:13:00Z</dcterms:modified>
</cp:coreProperties>
</file>