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74C" w:rsidRPr="00B9682E" w:rsidRDefault="00DB774C" w:rsidP="00DB774C">
      <w:pPr>
        <w:jc w:val="left"/>
        <w:rPr>
          <w:rFonts w:ascii="Times New Roman" w:hAnsi="Times New Roman" w:cs="Times New Roman"/>
          <w:b/>
          <w:w w:val="105"/>
          <w:sz w:val="30"/>
          <w:szCs w:val="30"/>
        </w:rPr>
      </w:pPr>
      <w:bookmarkStart w:id="0" w:name="_GoBack"/>
      <w:bookmarkEnd w:id="0"/>
      <w:r w:rsidRPr="00B9682E">
        <w:rPr>
          <w:rFonts w:ascii="Times New Roman" w:hAnsi="Times New Roman" w:cs="Times New Roman"/>
          <w:b/>
          <w:w w:val="105"/>
          <w:sz w:val="30"/>
          <w:szCs w:val="30"/>
        </w:rPr>
        <w:t>V</w:t>
      </w:r>
      <w:r w:rsidR="00155BCA" w:rsidRPr="00B9682E">
        <w:rPr>
          <w:rFonts w:ascii="Times New Roman" w:hAnsi="Times New Roman" w:cs="Times New Roman"/>
          <w:b/>
          <w:w w:val="105"/>
          <w:sz w:val="30"/>
          <w:szCs w:val="30"/>
        </w:rPr>
        <w:t>irologica Sinica</w:t>
      </w:r>
    </w:p>
    <w:p w:rsidR="0074608F" w:rsidRPr="00B9682E" w:rsidRDefault="0074608F" w:rsidP="003B717A">
      <w:pPr>
        <w:jc w:val="left"/>
        <w:rPr>
          <w:rFonts w:ascii="Times New Roman" w:hAnsi="Times New Roman" w:cs="Times New Roman"/>
          <w:w w:val="105"/>
          <w:sz w:val="24"/>
          <w:szCs w:val="24"/>
        </w:rPr>
      </w:pPr>
    </w:p>
    <w:p w:rsidR="000761B5" w:rsidRPr="00B9682E" w:rsidRDefault="000761B5" w:rsidP="003B717A">
      <w:pPr>
        <w:jc w:val="left"/>
        <w:rPr>
          <w:rFonts w:ascii="Times New Roman" w:hAnsi="Times New Roman" w:cs="Times New Roman"/>
          <w:b/>
          <w:bCs/>
          <w:color w:val="0078C1"/>
          <w:w w:val="105"/>
          <w:sz w:val="24"/>
          <w:szCs w:val="24"/>
        </w:rPr>
      </w:pPr>
    </w:p>
    <w:p w:rsidR="00DB774C" w:rsidRPr="00B9682E" w:rsidRDefault="00DB774C" w:rsidP="00DB774C">
      <w:pPr>
        <w:adjustRightInd w:val="0"/>
        <w:snapToGrid w:val="0"/>
        <w:jc w:val="left"/>
        <w:rPr>
          <w:rFonts w:ascii="Times New Roman" w:hAnsi="Times New Roman" w:cs="Times New Roman"/>
          <w:b/>
          <w:bCs/>
          <w:w w:val="105"/>
          <w:sz w:val="30"/>
          <w:szCs w:val="30"/>
        </w:rPr>
      </w:pPr>
      <w:r w:rsidRPr="00B9682E">
        <w:rPr>
          <w:rFonts w:ascii="Times New Roman" w:hAnsi="Times New Roman" w:cs="Times New Roman"/>
          <w:b/>
          <w:bCs/>
          <w:w w:val="105"/>
          <w:sz w:val="30"/>
          <w:szCs w:val="30"/>
        </w:rPr>
        <w:t xml:space="preserve">Supplementary </w:t>
      </w:r>
      <w:r w:rsidR="008C4C89" w:rsidRPr="00B9682E">
        <w:rPr>
          <w:rFonts w:ascii="Times New Roman" w:hAnsi="Times New Roman" w:cs="Times New Roman"/>
          <w:b/>
          <w:bCs/>
          <w:w w:val="105"/>
          <w:sz w:val="30"/>
          <w:szCs w:val="30"/>
        </w:rPr>
        <w:t>Data</w:t>
      </w:r>
    </w:p>
    <w:p w:rsidR="0074608F" w:rsidRPr="00B9682E" w:rsidRDefault="0074608F" w:rsidP="003B717A">
      <w:pPr>
        <w:adjustRightInd w:val="0"/>
        <w:snapToGrid w:val="0"/>
        <w:jc w:val="left"/>
        <w:rPr>
          <w:rFonts w:ascii="Times New Roman" w:hAnsi="Times New Roman" w:cs="Times New Roman"/>
          <w:b/>
          <w:bCs/>
          <w:color w:val="0078C1"/>
          <w:w w:val="105"/>
          <w:sz w:val="30"/>
          <w:szCs w:val="30"/>
        </w:rPr>
      </w:pPr>
    </w:p>
    <w:p w:rsidR="009579F2" w:rsidRPr="00B9682E" w:rsidRDefault="00ED01D1" w:rsidP="009579F2">
      <w:pPr>
        <w:autoSpaceDE w:val="0"/>
        <w:autoSpaceDN w:val="0"/>
        <w:adjustRightInd w:val="0"/>
        <w:snapToGrid w:val="0"/>
        <w:jc w:val="left"/>
        <w:rPr>
          <w:rFonts w:ascii="Times New Roman" w:hAnsi="Times New Roman" w:cs="Times New Roman"/>
          <w:b/>
          <w:bCs/>
          <w:sz w:val="30"/>
          <w:szCs w:val="30"/>
        </w:rPr>
      </w:pPr>
      <w:r w:rsidRPr="00ED01D1">
        <w:rPr>
          <w:rFonts w:ascii="Times New Roman" w:hAnsi="Times New Roman" w:cs="Times New Roman"/>
          <w:b/>
          <w:bCs/>
          <w:sz w:val="30"/>
          <w:szCs w:val="30"/>
        </w:rPr>
        <w:t xml:space="preserve">Roles of the functional domains and conserved residues of the severe fever with thrombocytopenia syndrome virus L protein provide insights into the viral RNA transcription/replication mechanism </w:t>
      </w:r>
    </w:p>
    <w:p w:rsidR="0092208C" w:rsidRPr="00B9682E" w:rsidRDefault="00380160" w:rsidP="00742D73">
      <w:pPr>
        <w:autoSpaceDE w:val="0"/>
        <w:autoSpaceDN w:val="0"/>
        <w:adjustRightInd w:val="0"/>
        <w:snapToGrid w:val="0"/>
        <w:jc w:val="left"/>
        <w:rPr>
          <w:rFonts w:ascii="Times New Roman" w:hAnsi="Times New Roman" w:cs="Times New Roman"/>
          <w:b/>
          <w:bCs/>
          <w:sz w:val="30"/>
          <w:szCs w:val="30"/>
        </w:rPr>
      </w:pPr>
      <w:r w:rsidRPr="00B9682E">
        <w:rPr>
          <w:rFonts w:ascii="Times New Roman" w:hAnsi="Times New Roman" w:cs="Times New Roman"/>
          <w:b/>
          <w:bCs/>
          <w:sz w:val="30"/>
          <w:szCs w:val="30"/>
        </w:rPr>
        <w:t xml:space="preserve"> </w:t>
      </w:r>
    </w:p>
    <w:p w:rsidR="002C606F" w:rsidRPr="00B9682E" w:rsidRDefault="002C606F" w:rsidP="002C606F">
      <w:pPr>
        <w:adjustRightInd w:val="0"/>
        <w:snapToGrid w:val="0"/>
        <w:spacing w:line="360" w:lineRule="auto"/>
        <w:rPr>
          <w:rFonts w:ascii="Times New Roman" w:hAnsi="Times New Roman" w:cs="Times New Roman"/>
          <w:b/>
          <w:bCs/>
          <w:w w:val="105"/>
          <w:szCs w:val="21"/>
        </w:rPr>
      </w:pPr>
    </w:p>
    <w:p w:rsidR="00634F9B" w:rsidRPr="00ED01D1" w:rsidRDefault="00ED01D1" w:rsidP="00634F9B">
      <w:pPr>
        <w:suppressAutoHyphens/>
        <w:jc w:val="left"/>
        <w:rPr>
          <w:rFonts w:ascii="Times New Roman" w:hAnsi="Times New Roman"/>
          <w:b/>
          <w:bCs/>
          <w:sz w:val="22"/>
          <w:szCs w:val="21"/>
          <w:vertAlign w:val="superscript"/>
        </w:rPr>
      </w:pPr>
      <w:r w:rsidRPr="00ED01D1">
        <w:rPr>
          <w:rFonts w:ascii="Times New Roman" w:eastAsia="SimSun" w:hAnsi="Times New Roman" w:cs="Times New Roman"/>
          <w:b/>
          <w:sz w:val="20"/>
          <w:szCs w:val="18"/>
        </w:rPr>
        <w:t>Zhiyun Yin</w:t>
      </w:r>
      <w:r w:rsidRPr="00ED01D1">
        <w:rPr>
          <w:rFonts w:ascii="Times New Roman" w:eastAsia="SimSun" w:hAnsi="Times New Roman" w:cs="Times New Roman"/>
          <w:b/>
          <w:sz w:val="20"/>
          <w:szCs w:val="18"/>
          <w:vertAlign w:val="superscript"/>
        </w:rPr>
        <w:t>a,b</w:t>
      </w:r>
      <w:r w:rsidRPr="00ED01D1">
        <w:rPr>
          <w:rFonts w:ascii="Times New Roman" w:eastAsia="SimSun" w:hAnsi="Times New Roman" w:cs="Times New Roman"/>
          <w:b/>
          <w:sz w:val="20"/>
          <w:szCs w:val="18"/>
        </w:rPr>
        <w:t>, Fuli Ren</w:t>
      </w:r>
      <w:r w:rsidRPr="00ED01D1">
        <w:rPr>
          <w:rFonts w:ascii="Times New Roman" w:eastAsia="SimSun" w:hAnsi="Times New Roman" w:cs="Times New Roman"/>
          <w:b/>
          <w:sz w:val="20"/>
          <w:szCs w:val="18"/>
          <w:vertAlign w:val="superscript"/>
        </w:rPr>
        <w:t>a,c</w:t>
      </w:r>
      <w:r w:rsidRPr="00ED01D1">
        <w:rPr>
          <w:rFonts w:ascii="Times New Roman" w:eastAsia="SimSun" w:hAnsi="Times New Roman" w:cs="Times New Roman"/>
          <w:b/>
          <w:sz w:val="20"/>
          <w:szCs w:val="18"/>
        </w:rPr>
        <w:t>, Min Zhou</w:t>
      </w:r>
      <w:r w:rsidRPr="00ED01D1">
        <w:rPr>
          <w:rFonts w:ascii="Times New Roman" w:eastAsia="SimSun" w:hAnsi="Times New Roman" w:cs="Times New Roman"/>
          <w:b/>
          <w:sz w:val="20"/>
          <w:szCs w:val="18"/>
          <w:vertAlign w:val="superscript"/>
        </w:rPr>
        <w:t>a</w:t>
      </w:r>
      <w:r w:rsidRPr="00ED01D1">
        <w:rPr>
          <w:rFonts w:ascii="Times New Roman" w:eastAsia="SimSun" w:hAnsi="Times New Roman" w:cs="Times New Roman"/>
          <w:b/>
          <w:sz w:val="20"/>
          <w:szCs w:val="18"/>
        </w:rPr>
        <w:t>, Shengyao Chen</w:t>
      </w:r>
      <w:r w:rsidRPr="00ED01D1">
        <w:rPr>
          <w:rFonts w:ascii="Times New Roman" w:eastAsia="SimSun" w:hAnsi="Times New Roman" w:cs="Times New Roman"/>
          <w:b/>
          <w:sz w:val="20"/>
          <w:szCs w:val="18"/>
          <w:vertAlign w:val="superscript"/>
        </w:rPr>
        <w:t>a</w:t>
      </w:r>
      <w:r w:rsidRPr="00ED01D1">
        <w:rPr>
          <w:rFonts w:ascii="Times New Roman" w:eastAsia="SimSun" w:hAnsi="Times New Roman" w:cs="Times New Roman"/>
          <w:b/>
          <w:sz w:val="20"/>
          <w:szCs w:val="18"/>
        </w:rPr>
        <w:t>, Yali Deng</w:t>
      </w:r>
      <w:r w:rsidRPr="00ED01D1">
        <w:rPr>
          <w:rFonts w:ascii="Times New Roman" w:eastAsia="SimSun" w:hAnsi="Times New Roman" w:cs="Times New Roman"/>
          <w:b/>
          <w:sz w:val="20"/>
          <w:szCs w:val="18"/>
          <w:vertAlign w:val="superscript"/>
        </w:rPr>
        <w:t>a</w:t>
      </w:r>
      <w:r w:rsidRPr="00ED01D1">
        <w:rPr>
          <w:rFonts w:ascii="Times New Roman" w:eastAsia="SimSun" w:hAnsi="Times New Roman" w:cs="Times New Roman"/>
          <w:b/>
          <w:sz w:val="20"/>
          <w:szCs w:val="18"/>
        </w:rPr>
        <w:t>, Sijing Hu</w:t>
      </w:r>
      <w:r w:rsidRPr="00ED01D1">
        <w:rPr>
          <w:rFonts w:ascii="Times New Roman" w:eastAsia="SimSun" w:hAnsi="Times New Roman" w:cs="Times New Roman"/>
          <w:b/>
          <w:sz w:val="20"/>
          <w:szCs w:val="18"/>
          <w:vertAlign w:val="superscript"/>
        </w:rPr>
        <w:t>a</w:t>
      </w:r>
      <w:r w:rsidRPr="00ED01D1">
        <w:rPr>
          <w:rFonts w:ascii="Times New Roman" w:eastAsia="SimSun" w:hAnsi="Times New Roman" w:cs="Times New Roman"/>
          <w:b/>
          <w:sz w:val="20"/>
          <w:szCs w:val="18"/>
        </w:rPr>
        <w:t>, Fei Deng</w:t>
      </w:r>
      <w:r w:rsidRPr="00ED01D1">
        <w:rPr>
          <w:rFonts w:ascii="Times New Roman" w:eastAsia="SimSun" w:hAnsi="Times New Roman" w:cs="Times New Roman"/>
          <w:b/>
          <w:sz w:val="20"/>
          <w:szCs w:val="18"/>
          <w:vertAlign w:val="superscript"/>
        </w:rPr>
        <w:t>a</w:t>
      </w:r>
      <w:r w:rsidRPr="00ED01D1">
        <w:rPr>
          <w:rFonts w:ascii="Times New Roman" w:eastAsia="SimSun" w:hAnsi="Times New Roman" w:cs="Times New Roman"/>
          <w:b/>
          <w:sz w:val="20"/>
          <w:szCs w:val="18"/>
        </w:rPr>
        <w:t>, Shu Shen</w:t>
      </w:r>
      <w:r w:rsidRPr="00ED01D1">
        <w:rPr>
          <w:rFonts w:ascii="Times New Roman" w:eastAsia="SimSun" w:hAnsi="Times New Roman" w:cs="Times New Roman"/>
          <w:b/>
          <w:sz w:val="20"/>
          <w:szCs w:val="18"/>
          <w:vertAlign w:val="superscript"/>
        </w:rPr>
        <w:t>a,*</w:t>
      </w:r>
      <w:r w:rsidRPr="00ED01D1">
        <w:rPr>
          <w:rFonts w:ascii="Times New Roman" w:eastAsia="SimSun" w:hAnsi="Times New Roman" w:cs="Times New Roman"/>
          <w:b/>
          <w:sz w:val="20"/>
          <w:szCs w:val="18"/>
        </w:rPr>
        <w:t>, Junming Shi</w:t>
      </w:r>
      <w:r w:rsidRPr="00ED01D1">
        <w:rPr>
          <w:rFonts w:ascii="Times New Roman" w:eastAsia="SimSun" w:hAnsi="Times New Roman" w:cs="Times New Roman"/>
          <w:b/>
          <w:sz w:val="20"/>
          <w:szCs w:val="18"/>
          <w:vertAlign w:val="superscript"/>
        </w:rPr>
        <w:t>a,*</w:t>
      </w:r>
    </w:p>
    <w:p w:rsidR="00551E70" w:rsidRPr="00634F9B" w:rsidRDefault="00551E70" w:rsidP="00DE5AC2">
      <w:pPr>
        <w:rPr>
          <w:rFonts w:ascii="Times New Roman" w:hAnsi="Times New Roman" w:cs="Times New Roman"/>
          <w:sz w:val="22"/>
        </w:rPr>
      </w:pPr>
    </w:p>
    <w:p w:rsidR="009579F2" w:rsidRPr="00B9682E" w:rsidRDefault="009579F2" w:rsidP="009579F2">
      <w:pPr>
        <w:adjustRightInd w:val="0"/>
        <w:snapToGrid w:val="0"/>
        <w:spacing w:line="360" w:lineRule="auto"/>
        <w:rPr>
          <w:rFonts w:ascii="Times New Roman" w:hAnsi="Times New Roman" w:cs="Times New Roman"/>
          <w:b/>
          <w:bCs/>
          <w:w w:val="105"/>
          <w:szCs w:val="21"/>
        </w:rPr>
      </w:pPr>
    </w:p>
    <w:p w:rsidR="00ED01D1" w:rsidRPr="00ED01D1" w:rsidRDefault="00ED01D1" w:rsidP="00ED01D1">
      <w:pPr>
        <w:widowControl/>
        <w:jc w:val="left"/>
        <w:rPr>
          <w:rFonts w:ascii="Times New Roman" w:eastAsia="SimSun" w:hAnsi="Times New Roman" w:cs="Times New Roman"/>
          <w:i/>
          <w:sz w:val="20"/>
          <w:szCs w:val="18"/>
        </w:rPr>
      </w:pPr>
      <w:r w:rsidRPr="00ED01D1">
        <w:rPr>
          <w:rFonts w:ascii="Times New Roman" w:eastAsia="SimSun" w:hAnsi="Times New Roman" w:cs="Times New Roman"/>
          <w:i/>
          <w:sz w:val="20"/>
          <w:szCs w:val="18"/>
          <w:vertAlign w:val="superscript"/>
        </w:rPr>
        <w:t>a</w:t>
      </w:r>
      <w:r w:rsidRPr="00ED01D1">
        <w:rPr>
          <w:rFonts w:ascii="Times New Roman" w:eastAsia="SimSun" w:hAnsi="Times New Roman" w:cs="Times New Roman"/>
          <w:i/>
          <w:sz w:val="20"/>
          <w:szCs w:val="18"/>
        </w:rPr>
        <w:t xml:space="preserve"> National Virus Resource Center, Wuhan Institute of Virology, Chinese Academy of Sciences, Wuhan, 430071, China</w:t>
      </w:r>
    </w:p>
    <w:p w:rsidR="00ED01D1" w:rsidRPr="00ED01D1" w:rsidRDefault="00ED01D1" w:rsidP="00ED01D1">
      <w:pPr>
        <w:widowControl/>
        <w:jc w:val="left"/>
        <w:rPr>
          <w:rFonts w:ascii="Times New Roman" w:eastAsia="SimSun" w:hAnsi="Times New Roman" w:cs="Times New Roman"/>
          <w:i/>
          <w:sz w:val="20"/>
          <w:szCs w:val="18"/>
        </w:rPr>
      </w:pPr>
      <w:r w:rsidRPr="00ED01D1">
        <w:rPr>
          <w:rFonts w:ascii="Times New Roman" w:eastAsia="SimSun" w:hAnsi="Times New Roman" w:cs="Times New Roman"/>
          <w:i/>
          <w:sz w:val="20"/>
          <w:szCs w:val="18"/>
          <w:vertAlign w:val="superscript"/>
        </w:rPr>
        <w:t>b</w:t>
      </w:r>
      <w:r w:rsidRPr="00ED01D1">
        <w:rPr>
          <w:rFonts w:ascii="Times New Roman" w:eastAsia="SimSun" w:hAnsi="Times New Roman" w:cs="Times New Roman"/>
          <w:i/>
          <w:sz w:val="20"/>
          <w:szCs w:val="18"/>
        </w:rPr>
        <w:t xml:space="preserve"> Academic Affairs Office of Cangzhou Jiaotong University, Cangzhou, 061199, China</w:t>
      </w:r>
    </w:p>
    <w:p w:rsidR="00413E21" w:rsidRPr="00ED01D1" w:rsidRDefault="00ED01D1" w:rsidP="00ED01D1">
      <w:pPr>
        <w:adjustRightInd w:val="0"/>
        <w:snapToGrid w:val="0"/>
        <w:jc w:val="left"/>
        <w:rPr>
          <w:rFonts w:ascii="Times New Roman" w:hAnsi="Times New Roman" w:cs="Times New Roman"/>
          <w:i/>
          <w:sz w:val="22"/>
          <w:szCs w:val="21"/>
        </w:rPr>
      </w:pPr>
      <w:r w:rsidRPr="00ED01D1">
        <w:rPr>
          <w:rFonts w:ascii="Times New Roman" w:eastAsia="SimSun" w:hAnsi="Times New Roman" w:cs="Times New Roman"/>
          <w:i/>
          <w:sz w:val="20"/>
          <w:szCs w:val="18"/>
          <w:vertAlign w:val="superscript"/>
        </w:rPr>
        <w:t>c</w:t>
      </w:r>
      <w:r w:rsidRPr="00ED01D1">
        <w:rPr>
          <w:rFonts w:ascii="Times New Roman" w:eastAsia="SimSun" w:hAnsi="Times New Roman" w:cs="Times New Roman"/>
          <w:i/>
          <w:sz w:val="20"/>
          <w:szCs w:val="18"/>
        </w:rPr>
        <w:t xml:space="preserve"> Center for Translational Medicine, Jinyintan Hospital, Wuhan, 430023, China</w:t>
      </w:r>
    </w:p>
    <w:p w:rsidR="000741BA" w:rsidRPr="00B9682E" w:rsidRDefault="000741BA" w:rsidP="000741BA">
      <w:pPr>
        <w:adjustRightInd w:val="0"/>
        <w:snapToGrid w:val="0"/>
        <w:jc w:val="left"/>
        <w:rPr>
          <w:rFonts w:ascii="Times New Roman" w:hAnsi="Times New Roman" w:cs="Times New Roman"/>
          <w:szCs w:val="21"/>
        </w:rPr>
      </w:pPr>
    </w:p>
    <w:p w:rsidR="008C4C89" w:rsidRPr="00B9682E" w:rsidRDefault="008C4C89" w:rsidP="008C4C89">
      <w:pPr>
        <w:adjustRightInd w:val="0"/>
        <w:snapToGrid w:val="0"/>
        <w:jc w:val="left"/>
        <w:rPr>
          <w:rFonts w:ascii="Times New Roman" w:hAnsi="Times New Roman" w:cs="Times New Roman"/>
          <w:szCs w:val="21"/>
        </w:rPr>
      </w:pPr>
      <w:r w:rsidRPr="00B9682E">
        <w:rPr>
          <w:rFonts w:ascii="Times New Roman" w:hAnsi="Times New Roman" w:cs="Times New Roman"/>
          <w:szCs w:val="21"/>
          <w:vertAlign w:val="superscript"/>
        </w:rPr>
        <w:t>*</w:t>
      </w:r>
      <w:r w:rsidRPr="00B9682E">
        <w:rPr>
          <w:rFonts w:ascii="Times New Roman" w:hAnsi="Times New Roman" w:cs="Times New Roman"/>
          <w:szCs w:val="21"/>
        </w:rPr>
        <w:t xml:space="preserve"> Corresponding author. </w:t>
      </w:r>
    </w:p>
    <w:p w:rsidR="008358B6" w:rsidRPr="00ED01D1" w:rsidRDefault="008C4C89" w:rsidP="00ED01D1">
      <w:pPr>
        <w:adjustRightInd w:val="0"/>
        <w:snapToGrid w:val="0"/>
        <w:jc w:val="left"/>
        <w:rPr>
          <w:rFonts w:ascii="Times New Roman" w:hAnsi="Times New Roman" w:cs="Times New Roman"/>
          <w:szCs w:val="21"/>
        </w:rPr>
      </w:pPr>
      <w:r w:rsidRPr="00B9682E">
        <w:rPr>
          <w:rFonts w:ascii="Times New Roman" w:hAnsi="Times New Roman" w:cs="Times New Roman"/>
          <w:i/>
          <w:szCs w:val="21"/>
        </w:rPr>
        <w:t>E-mail addresses</w:t>
      </w:r>
      <w:r w:rsidRPr="00B9682E">
        <w:rPr>
          <w:rFonts w:ascii="Times New Roman" w:hAnsi="Times New Roman" w:cs="Times New Roman"/>
          <w:szCs w:val="21"/>
        </w:rPr>
        <w:t xml:space="preserve">: </w:t>
      </w:r>
      <w:r w:rsidR="00ED01D1" w:rsidRPr="00ED01D1">
        <w:rPr>
          <w:rFonts w:ascii="Times New Roman" w:hAnsi="Times New Roman" w:cs="Times New Roman"/>
          <w:szCs w:val="21"/>
        </w:rPr>
        <w:t>sjm@wh.iov.cn (J. Shi), shenshu@wh.iov.cn (S. Shen)</w:t>
      </w:r>
    </w:p>
    <w:p w:rsidR="00713212" w:rsidRPr="00B9682E" w:rsidRDefault="00713212" w:rsidP="00BE753B">
      <w:pPr>
        <w:widowControl/>
        <w:adjustRightInd w:val="0"/>
        <w:snapToGrid w:val="0"/>
        <w:spacing w:line="360" w:lineRule="auto"/>
        <w:rPr>
          <w:rFonts w:ascii="Times New Roman" w:hAnsi="Times New Roman" w:cs="Times New Roman"/>
          <w:color w:val="000000"/>
          <w:sz w:val="22"/>
        </w:rPr>
        <w:sectPr w:rsidR="00713212" w:rsidRPr="00B9682E" w:rsidSect="00DE5AC2">
          <w:headerReference w:type="default" r:id="rId7"/>
          <w:footerReference w:type="default" r:id="rId8"/>
          <w:pgSz w:w="11907" w:h="15876" w:code="1"/>
          <w:pgMar w:top="1134" w:right="1134" w:bottom="1134" w:left="1134" w:header="851" w:footer="992" w:gutter="0"/>
          <w:cols w:space="425"/>
          <w:docGrid w:type="lines" w:linePitch="312"/>
        </w:sectPr>
      </w:pPr>
    </w:p>
    <w:p w:rsidR="00ED01D1" w:rsidRDefault="00ED01D1" w:rsidP="00ED01D1">
      <w:pPr>
        <w:spacing w:line="360" w:lineRule="auto"/>
        <w:rPr>
          <w:rFonts w:ascii="Times New Roman" w:hAnsi="Times New Roman"/>
          <w:b/>
          <w:szCs w:val="21"/>
        </w:rPr>
      </w:pPr>
      <w:r>
        <w:rPr>
          <w:rFonts w:ascii="Times New Roman" w:hAnsi="Times New Roman"/>
          <w:b/>
          <w:szCs w:val="21"/>
        </w:rPr>
        <w:lastRenderedPageBreak/>
        <w:t>Methods</w:t>
      </w:r>
    </w:p>
    <w:p w:rsidR="00ED01D1" w:rsidRDefault="00ED01D1" w:rsidP="00ED01D1">
      <w:pPr>
        <w:spacing w:line="360" w:lineRule="auto"/>
        <w:rPr>
          <w:rFonts w:ascii="Times New Roman" w:hAnsi="Times New Roman"/>
          <w:b/>
          <w:szCs w:val="21"/>
        </w:rPr>
      </w:pPr>
      <w:r>
        <w:rPr>
          <w:rFonts w:ascii="Times New Roman" w:hAnsi="Times New Roman" w:hint="eastAsia"/>
          <w:b/>
          <w:szCs w:val="21"/>
        </w:rPr>
        <w:t xml:space="preserve">Construction of SFTSV-L </w:t>
      </w:r>
      <w:r>
        <w:rPr>
          <w:rFonts w:ascii="Times New Roman" w:hAnsi="Times New Roman"/>
          <w:b/>
          <w:szCs w:val="21"/>
        </w:rPr>
        <w:t>truncations</w:t>
      </w:r>
      <w:r>
        <w:rPr>
          <w:rFonts w:ascii="Times New Roman" w:hAnsi="Times New Roman" w:hint="eastAsia"/>
          <w:b/>
          <w:szCs w:val="21"/>
        </w:rPr>
        <w:t xml:space="preserve"> and site mutants</w:t>
      </w:r>
    </w:p>
    <w:p w:rsidR="00ED01D1" w:rsidRDefault="00ED01D1" w:rsidP="00ED01D1">
      <w:pPr>
        <w:spacing w:line="360" w:lineRule="auto"/>
        <w:ind w:firstLineChars="200" w:firstLine="420"/>
        <w:rPr>
          <w:rFonts w:ascii="Times New Roman" w:hAnsi="Times New Roman"/>
          <w:szCs w:val="21"/>
        </w:rPr>
      </w:pPr>
      <w:r>
        <w:rPr>
          <w:rFonts w:ascii="Times New Roman" w:hAnsi="Times New Roman"/>
          <w:szCs w:val="21"/>
        </w:rPr>
        <w:t xml:space="preserve">The </w:t>
      </w:r>
      <w:r>
        <w:rPr>
          <w:rFonts w:ascii="Times New Roman" w:hAnsi="Times New Roman" w:hint="eastAsia"/>
          <w:szCs w:val="21"/>
        </w:rPr>
        <w:t xml:space="preserve">cDNA of </w:t>
      </w:r>
      <w:r>
        <w:rPr>
          <w:rFonts w:ascii="Times New Roman" w:hAnsi="Times New Roman"/>
          <w:szCs w:val="21"/>
        </w:rPr>
        <w:t>strain SFTSV</w:t>
      </w:r>
      <w:r>
        <w:rPr>
          <w:rFonts w:ascii="Times New Roman" w:hAnsi="Times New Roman" w:hint="eastAsia"/>
          <w:szCs w:val="21"/>
        </w:rPr>
        <w:t xml:space="preserve"> (strain </w:t>
      </w:r>
      <w:r>
        <w:rPr>
          <w:rFonts w:ascii="Times New Roman" w:hAnsi="Times New Roman"/>
          <w:szCs w:val="21"/>
        </w:rPr>
        <w:t>WCH/97/HN/China/2011</w:t>
      </w:r>
      <w:r>
        <w:rPr>
          <w:rFonts w:ascii="Times New Roman" w:hAnsi="Times New Roman" w:hint="eastAsia"/>
          <w:szCs w:val="21"/>
        </w:rPr>
        <w:t xml:space="preserve">) </w:t>
      </w:r>
      <w:r>
        <w:rPr>
          <w:rFonts w:ascii="Times New Roman" w:hAnsi="Times New Roman"/>
          <w:szCs w:val="21"/>
        </w:rPr>
        <w:t xml:space="preserve">was used </w:t>
      </w:r>
      <w:r>
        <w:rPr>
          <w:rFonts w:ascii="Times New Roman" w:hAnsi="Times New Roman" w:hint="eastAsia"/>
          <w:szCs w:val="21"/>
        </w:rPr>
        <w:t>as template of each mutant by PCR to obtain the full-length SFTSV-L open reading frame (ORF)</w:t>
      </w:r>
      <w:r>
        <w:rPr>
          <w:rFonts w:ascii="Times New Roman" w:hAnsi="Times New Roman"/>
          <w:szCs w:val="21"/>
        </w:rPr>
        <w:t>.</w:t>
      </w:r>
      <w:r>
        <w:rPr>
          <w:rFonts w:ascii="Times New Roman" w:hAnsi="Times New Roman" w:hint="eastAsia"/>
          <w:szCs w:val="21"/>
        </w:rPr>
        <w:t xml:space="preserve"> According to the structure model of SFTSV (PDB no: 6L42_A), regions of domain </w:t>
      </w:r>
      <w:r>
        <w:rPr>
          <w:rFonts w:ascii="Times New Roman" w:hAnsi="Times New Roman"/>
          <w:szCs w:val="21"/>
        </w:rPr>
        <w:t>endoN</w:t>
      </w:r>
      <w:r>
        <w:rPr>
          <w:rFonts w:ascii="Times New Roman" w:hAnsi="Times New Roman" w:hint="eastAsia"/>
          <w:szCs w:val="21"/>
        </w:rPr>
        <w:t xml:space="preserve"> (25</w:t>
      </w:r>
      <w:r>
        <w:rPr>
          <w:rFonts w:ascii="Times New Roman" w:hAnsi="Times New Roman"/>
          <w:szCs w:val="21"/>
        </w:rPr>
        <w:t>–</w:t>
      </w:r>
      <w:r>
        <w:rPr>
          <w:rFonts w:ascii="Times New Roman" w:hAnsi="Times New Roman" w:hint="eastAsia"/>
          <w:szCs w:val="21"/>
        </w:rPr>
        <w:t xml:space="preserve">205 aa), </w:t>
      </w:r>
      <w:r>
        <w:rPr>
          <w:rFonts w:ascii="Times New Roman" w:hAnsi="Times New Roman"/>
          <w:szCs w:val="21"/>
        </w:rPr>
        <w:t>arm1</w:t>
      </w:r>
      <w:r>
        <w:rPr>
          <w:rFonts w:ascii="Times New Roman" w:hAnsi="Times New Roman" w:hint="eastAsia"/>
          <w:szCs w:val="21"/>
        </w:rPr>
        <w:t xml:space="preserve"> (1615</w:t>
      </w:r>
      <w:r>
        <w:rPr>
          <w:rFonts w:ascii="Times New Roman" w:hAnsi="Times New Roman"/>
          <w:szCs w:val="21"/>
        </w:rPr>
        <w:t>–</w:t>
      </w:r>
      <w:r>
        <w:rPr>
          <w:rFonts w:ascii="Times New Roman" w:hAnsi="Times New Roman" w:hint="eastAsia"/>
          <w:szCs w:val="21"/>
        </w:rPr>
        <w:t>1696 aa), CBD (1697</w:t>
      </w:r>
      <w:r>
        <w:rPr>
          <w:rFonts w:ascii="Times New Roman" w:hAnsi="Times New Roman"/>
          <w:szCs w:val="21"/>
        </w:rPr>
        <w:t>–</w:t>
      </w:r>
      <w:r>
        <w:rPr>
          <w:rFonts w:ascii="Times New Roman" w:hAnsi="Times New Roman" w:hint="eastAsia"/>
          <w:szCs w:val="21"/>
        </w:rPr>
        <w:t>1810 aa), b (1811</w:t>
      </w:r>
      <w:r>
        <w:rPr>
          <w:rFonts w:ascii="Times New Roman" w:hAnsi="Times New Roman"/>
          <w:szCs w:val="21"/>
        </w:rPr>
        <w:t>–</w:t>
      </w:r>
      <w:r>
        <w:rPr>
          <w:rFonts w:ascii="Times New Roman" w:hAnsi="Times New Roman" w:hint="eastAsia"/>
          <w:szCs w:val="21"/>
        </w:rPr>
        <w:t>1852 aa), arm2 (1853</w:t>
      </w:r>
      <w:r>
        <w:rPr>
          <w:rFonts w:ascii="Times New Roman" w:hAnsi="Times New Roman"/>
          <w:szCs w:val="21"/>
        </w:rPr>
        <w:t>–</w:t>
      </w:r>
      <w:r>
        <w:rPr>
          <w:rFonts w:ascii="Times New Roman" w:hAnsi="Times New Roman" w:hint="eastAsia"/>
          <w:szCs w:val="21"/>
        </w:rPr>
        <w:t>1932 aa), lariat (1933</w:t>
      </w:r>
      <w:r>
        <w:rPr>
          <w:rFonts w:ascii="Times New Roman" w:hAnsi="Times New Roman"/>
          <w:szCs w:val="21"/>
        </w:rPr>
        <w:t>–</w:t>
      </w:r>
      <w:r>
        <w:rPr>
          <w:rFonts w:ascii="Times New Roman" w:hAnsi="Times New Roman" w:hint="eastAsia"/>
          <w:szCs w:val="21"/>
        </w:rPr>
        <w:t xml:space="preserve">2049 aa) were removed from the clones of full-length SFTSV-L ORF </w:t>
      </w:r>
      <w:r>
        <w:rPr>
          <w:rFonts w:ascii="Times New Roman" w:hAnsi="Times New Roman"/>
          <w:szCs w:val="21"/>
        </w:rPr>
        <w:t>by overlap</w:t>
      </w:r>
      <w:r>
        <w:rPr>
          <w:rFonts w:ascii="Times New Roman" w:hAnsi="Times New Roman" w:hint="eastAsia"/>
          <w:szCs w:val="21"/>
        </w:rPr>
        <w:t xml:space="preserve">ping PCR. Each single-point </w:t>
      </w:r>
      <w:r>
        <w:rPr>
          <w:rFonts w:ascii="Times New Roman" w:hAnsi="Times New Roman"/>
          <w:szCs w:val="21"/>
        </w:rPr>
        <w:t>muta</w:t>
      </w:r>
      <w:r>
        <w:rPr>
          <w:rFonts w:ascii="Times New Roman" w:hAnsi="Times New Roman" w:hint="eastAsia"/>
          <w:szCs w:val="21"/>
        </w:rPr>
        <w:t xml:space="preserve">tion plasmid was constructed by site-directed PCR mutagenesis with specific primers containing the particular </w:t>
      </w:r>
      <w:r>
        <w:rPr>
          <w:rFonts w:ascii="Times New Roman" w:hAnsi="Times New Roman"/>
          <w:szCs w:val="21"/>
        </w:rPr>
        <w:t>nucleotide</w:t>
      </w:r>
      <w:r>
        <w:rPr>
          <w:rFonts w:ascii="Times New Roman" w:hAnsi="Times New Roman" w:hint="eastAsia"/>
          <w:szCs w:val="21"/>
        </w:rPr>
        <w:t xml:space="preserve"> substitution. The PCR products were purified using </w:t>
      </w:r>
      <w:r>
        <w:rPr>
          <w:rFonts w:ascii="Times New Roman" w:hAnsi="Times New Roman"/>
          <w:szCs w:val="21"/>
        </w:rPr>
        <w:t>E.Z.N.A® Gel Extraction Kit</w:t>
      </w:r>
      <w:r>
        <w:rPr>
          <w:rFonts w:ascii="Times New Roman" w:hAnsi="Times New Roman" w:hint="eastAsia"/>
          <w:szCs w:val="21"/>
        </w:rPr>
        <w:t xml:space="preserve"> (Omega Biotek Inc, </w:t>
      </w:r>
      <w:r>
        <w:rPr>
          <w:rFonts w:ascii="Times New Roman" w:hAnsi="Times New Roman"/>
          <w:szCs w:val="21"/>
        </w:rPr>
        <w:t>Georgia,</w:t>
      </w:r>
      <w:r>
        <w:rPr>
          <w:rFonts w:ascii="Times New Roman" w:hAnsi="Times New Roman" w:hint="eastAsia"/>
          <w:szCs w:val="21"/>
        </w:rPr>
        <w:t xml:space="preserve"> USA). Purified fragments of SFTSV-L were inserted into plasmid pCAGGS via infusion clone kit </w:t>
      </w:r>
      <w:r>
        <w:rPr>
          <w:rFonts w:ascii="Times New Roman" w:hAnsi="Times New Roman"/>
          <w:szCs w:val="21"/>
        </w:rPr>
        <w:t>(One Step Cloning Kit, Vazyme, Nanjing, China). The recombinant plasmid sequences were verified by </w:t>
      </w:r>
      <w:hyperlink r:id="rId9" w:tooltip="Learn more about Sanger sequencing from ScienceDirect's AI-generated Topic Pages" w:history="1">
        <w:r>
          <w:rPr>
            <w:rFonts w:ascii="Times New Roman" w:hAnsi="Times New Roman"/>
            <w:szCs w:val="21"/>
          </w:rPr>
          <w:t>Sanger sequencing</w:t>
        </w:r>
      </w:hyperlink>
      <w:r>
        <w:rPr>
          <w:rFonts w:ascii="Times New Roman" w:hAnsi="Times New Roman"/>
          <w:szCs w:val="21"/>
        </w:rPr>
        <w:t> (Sangon Biotech, Shanghai, China).</w:t>
      </w:r>
    </w:p>
    <w:p w:rsidR="00ED01D1" w:rsidRDefault="00ED01D1" w:rsidP="00ED01D1">
      <w:pPr>
        <w:spacing w:line="360" w:lineRule="auto"/>
        <w:ind w:firstLineChars="200" w:firstLine="422"/>
        <w:rPr>
          <w:rFonts w:ascii="Times New Roman" w:hAnsi="Times New Roman"/>
          <w:b/>
          <w:szCs w:val="21"/>
        </w:rPr>
      </w:pPr>
    </w:p>
    <w:p w:rsidR="00ED01D1" w:rsidRDefault="00ED01D1" w:rsidP="00ED01D1">
      <w:pPr>
        <w:spacing w:line="360" w:lineRule="auto"/>
        <w:rPr>
          <w:rFonts w:ascii="Times New Roman" w:hAnsi="Times New Roman"/>
          <w:b/>
          <w:szCs w:val="21"/>
        </w:rPr>
      </w:pPr>
      <w:r>
        <w:rPr>
          <w:rFonts w:ascii="Times New Roman" w:hAnsi="Times New Roman"/>
          <w:b/>
          <w:szCs w:val="21"/>
        </w:rPr>
        <w:t>Immunofluorescence assay</w:t>
      </w:r>
    </w:p>
    <w:p w:rsidR="00ED01D1" w:rsidRDefault="00ED01D1" w:rsidP="00ED01D1">
      <w:pPr>
        <w:pStyle w:val="NormalWeb"/>
        <w:shd w:val="clear" w:color="auto" w:fill="FFFFFF"/>
        <w:spacing w:line="360" w:lineRule="auto"/>
        <w:ind w:firstLineChars="200" w:firstLine="420"/>
        <w:rPr>
          <w:rFonts w:ascii="Times New Roman" w:hAnsi="Times New Roman" w:cs="Times New Roman"/>
          <w:sz w:val="21"/>
          <w:szCs w:val="21"/>
        </w:rPr>
      </w:pPr>
      <w:r>
        <w:rPr>
          <w:rFonts w:ascii="Times New Roman" w:hAnsi="Times New Roman" w:cs="Times New Roman"/>
          <w:sz w:val="21"/>
          <w:szCs w:val="21"/>
        </w:rPr>
        <w:t>HEK 293T cells</w:t>
      </w:r>
      <w:r>
        <w:rPr>
          <w:rFonts w:ascii="Times New Roman" w:hAnsi="Times New Roman" w:cs="Times New Roman" w:hint="eastAsia"/>
          <w:sz w:val="21"/>
          <w:szCs w:val="21"/>
        </w:rPr>
        <w:t xml:space="preserve"> (ATCC no. CRL-1573)</w:t>
      </w:r>
      <w:r>
        <w:rPr>
          <w:rFonts w:ascii="Times New Roman" w:hAnsi="Times New Roman" w:cs="Times New Roman"/>
          <w:sz w:val="21"/>
          <w:szCs w:val="21"/>
        </w:rPr>
        <w:t xml:space="preserve"> were fixed in 4% paraformaldehyde for 15 min and permeated with 0.2% Triton X-100 (PBS) for 15 min. After washing three times with PBS, the cells were blocked with 5% bovine serum albumin at room temperature for 1 h. IFA was performed using 1:2</w:t>
      </w:r>
      <w:r>
        <w:rPr>
          <w:rFonts w:ascii="Times New Roman" w:hAnsi="Times New Roman" w:cs="Times New Roman" w:hint="eastAsia"/>
          <w:sz w:val="21"/>
          <w:szCs w:val="21"/>
        </w:rPr>
        <w:t>,</w:t>
      </w:r>
      <w:r>
        <w:rPr>
          <w:rFonts w:ascii="Times New Roman" w:hAnsi="Times New Roman" w:cs="Times New Roman"/>
          <w:sz w:val="21"/>
          <w:szCs w:val="21"/>
        </w:rPr>
        <w:t>000 diluted polyclonal antibodies against SFTSV L (anti-L) as the primary antibody according to a previous description</w:t>
      </w:r>
      <w:r>
        <w:rPr>
          <w:rFonts w:ascii="Times New Roman" w:hAnsi="Times New Roman" w:cs="Times New Roman" w:hint="eastAsia"/>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ADDIN EN.CITE </w:instrText>
      </w:r>
      <w:r>
        <w:rPr>
          <w:rFonts w:ascii="Times New Roman" w:hAnsi="Times New Roman" w:cs="Times New Roman"/>
          <w:sz w:val="21"/>
          <w:szCs w:val="21"/>
        </w:rPr>
        <w:fldChar w:fldCharType="begin"/>
      </w:r>
      <w:r>
        <w:rPr>
          <w:rFonts w:ascii="Times New Roman" w:hAnsi="Times New Roman" w:cs="Times New Roman"/>
          <w:sz w:val="21"/>
          <w:szCs w:val="21"/>
        </w:rPr>
        <w:instrText xml:space="preserve"> ADDIN EN.CITE.DATA </w:instrText>
      </w:r>
      <w:r>
        <w:rPr>
          <w:rFonts w:ascii="Times New Roman" w:hAnsi="Times New Roman" w:cs="Times New Roman"/>
          <w:sz w:val="21"/>
          <w:szCs w:val="21"/>
        </w:rPr>
        <w:fldChar w:fldCharType="end"/>
      </w:r>
      <w:r>
        <w:rPr>
          <w:rFonts w:ascii="Times New Roman" w:hAnsi="Times New Roman" w:cs="Times New Roman"/>
          <w:sz w:val="21"/>
          <w:szCs w:val="21"/>
        </w:rPr>
        <w:fldChar w:fldCharType="separate"/>
      </w:r>
      <w:r>
        <w:rPr>
          <w:rFonts w:ascii="Times New Roman" w:hAnsi="Times New Roman" w:cs="Times New Roman"/>
          <w:sz w:val="21"/>
          <w:szCs w:val="21"/>
        </w:rPr>
        <w:t>(Ning</w:t>
      </w:r>
      <w:r>
        <w:rPr>
          <w:rFonts w:ascii="Times New Roman" w:hAnsi="Times New Roman" w:cs="Times New Roman"/>
          <w:i/>
          <w:sz w:val="21"/>
          <w:szCs w:val="21"/>
        </w:rPr>
        <w:t xml:space="preserve"> </w:t>
      </w:r>
      <w:r>
        <w:rPr>
          <w:rFonts w:ascii="Times New Roman" w:hAnsi="Times New Roman" w:cs="Times New Roman"/>
          <w:sz w:val="21"/>
          <w:szCs w:val="21"/>
        </w:rPr>
        <w:t>et al.</w:t>
      </w:r>
      <w:r>
        <w:rPr>
          <w:rFonts w:ascii="Times New Roman" w:hAnsi="Times New Roman" w:cs="Times New Roman" w:hint="eastAsia"/>
          <w:sz w:val="21"/>
          <w:szCs w:val="21"/>
        </w:rPr>
        <w:t>,</w:t>
      </w:r>
      <w:r>
        <w:rPr>
          <w:rFonts w:ascii="Times New Roman" w:hAnsi="Times New Roman" w:cs="Times New Roman"/>
          <w:sz w:val="21"/>
          <w:szCs w:val="21"/>
        </w:rPr>
        <w:t xml:space="preserve"> 2019)</w:t>
      </w:r>
      <w:r>
        <w:rPr>
          <w:rFonts w:ascii="Times New Roman" w:hAnsi="Times New Roman" w:cs="Times New Roman"/>
          <w:sz w:val="21"/>
          <w:szCs w:val="21"/>
        </w:rPr>
        <w:fldChar w:fldCharType="end"/>
      </w:r>
      <w:r>
        <w:rPr>
          <w:rFonts w:ascii="Times New Roman" w:hAnsi="Times New Roman" w:cs="Times New Roman"/>
          <w:sz w:val="21"/>
          <w:szCs w:val="21"/>
        </w:rPr>
        <w:t>, and 1:5000 diluted Alexa-fluor555-conjugated polyclonal goat anti-rabbit IgG (Abcam, Cambridge, UK</w:t>
      </w:r>
      <w:r>
        <w:rPr>
          <w:rFonts w:ascii="Times New Roman" w:hAnsi="Times New Roman" w:cs="Times New Roman"/>
          <w:sz w:val="21"/>
          <w:szCs w:val="21"/>
        </w:rPr>
        <w:t>）</w:t>
      </w:r>
      <w:r>
        <w:rPr>
          <w:rFonts w:ascii="Times New Roman" w:hAnsi="Times New Roman" w:cs="Times New Roman"/>
          <w:sz w:val="21"/>
          <w:szCs w:val="21"/>
        </w:rPr>
        <w:t>as the secondary antibodies. The nuclei were stained with DAPI (Beyotime, Nanjing, China). The fluorescence was visualized using a fluorescence microscope (ECLIPSE TE2000-S; Nikon, Japan).</w:t>
      </w:r>
    </w:p>
    <w:p w:rsidR="00ED01D1" w:rsidRDefault="00ED01D1" w:rsidP="00ED01D1">
      <w:pPr>
        <w:pStyle w:val="NormalWeb"/>
        <w:shd w:val="clear" w:color="auto" w:fill="FFFFFF"/>
        <w:spacing w:line="360" w:lineRule="auto"/>
        <w:rPr>
          <w:rFonts w:ascii="Times New Roman" w:hAnsi="Times New Roman" w:cs="Times New Roman"/>
          <w:b/>
          <w:sz w:val="21"/>
          <w:szCs w:val="21"/>
        </w:rPr>
      </w:pPr>
    </w:p>
    <w:p w:rsidR="00ED01D1" w:rsidRDefault="00ED01D1" w:rsidP="00ED01D1">
      <w:pPr>
        <w:pStyle w:val="NormalWeb"/>
        <w:shd w:val="clear" w:color="auto" w:fill="FFFFFF"/>
        <w:spacing w:line="360" w:lineRule="auto"/>
        <w:rPr>
          <w:rFonts w:ascii="Times New Roman" w:hAnsi="Times New Roman" w:cs="Times New Roman"/>
          <w:b/>
          <w:sz w:val="21"/>
          <w:szCs w:val="21"/>
        </w:rPr>
      </w:pPr>
      <w:r>
        <w:rPr>
          <w:rFonts w:ascii="Times New Roman" w:hAnsi="Times New Roman" w:cs="Times New Roman"/>
          <w:b/>
          <w:sz w:val="21"/>
          <w:szCs w:val="21"/>
        </w:rPr>
        <w:t>Minigenome assay</w:t>
      </w:r>
    </w:p>
    <w:p w:rsidR="00ED01D1" w:rsidRDefault="00ED01D1" w:rsidP="00ED01D1">
      <w:pPr>
        <w:pStyle w:val="NormalWeb"/>
        <w:shd w:val="clear" w:color="auto" w:fill="FFFFFF"/>
        <w:spacing w:line="360" w:lineRule="auto"/>
        <w:ind w:firstLineChars="200" w:firstLine="420"/>
        <w:rPr>
          <w:rFonts w:ascii="Times New Roman" w:hAnsi="Times New Roman" w:cs="Times New Roman"/>
          <w:sz w:val="21"/>
          <w:szCs w:val="21"/>
        </w:rPr>
      </w:pPr>
      <w:r>
        <w:rPr>
          <w:rFonts w:ascii="Times New Roman" w:hAnsi="Times New Roman" w:cs="Times New Roman"/>
          <w:sz w:val="21"/>
          <w:szCs w:val="21"/>
        </w:rPr>
        <w:t xml:space="preserve">The minigenome construction and reporter assays were performed as described previously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ADDIN EN.CITE &lt;EndNote&gt;&lt;Cite&gt;&lt;Author&gt;Ren&lt;/Author&gt;&lt;Year&gt;2020&lt;/Year&gt;&lt;RecNum&gt;21&lt;/RecNum&gt;&lt;DisplayText&gt;(Ren&lt;style face="italic"&gt; et al.&lt;/style&gt; 2020)&lt;/DisplayText&gt;&lt;record&gt;&lt;rec-number&gt;21&lt;/rec-number&gt;&lt;foreign-keys&gt;&lt;key app="EN" db-id="fdf92z5fpwewp0ef0zlp5svfwfzv0etffxwv" timestamp="1635847472"&gt;21&lt;/key&gt;&lt;/foreign-keys&gt;&lt;ref-type name="Journal Article"&gt;17&lt;/ref-type&gt;&lt;contributors&gt;&lt;authors&gt;&lt;author&gt;Ren, F.&lt;/author&gt;&lt;author&gt;Zhou, M.&lt;/author&gt;&lt;author&gt;Deng, F.&lt;/author&gt;&lt;author&gt;Wang, H.&lt;/author&gt;&lt;author&gt;Ning, Y. J.&lt;/author&gt;&lt;/authors&gt;&lt;/contributors&gt;&lt;auth-address&gt;State Key Laboratory of Virology, Wuhan Institute of Virology, Chinese Academy of Sciences, Wuhan, China.&amp;#xD;University of Chinese Academy of Sciences, Beijing, China.&amp;#xD;National Virus Resource Center, Wuhan Institute of Virology, Chinese Academy of Sciences, Wuhan, China.&amp;#xD;Center for Biosafety Mega-Science, Chinese Academy of Sciences, Wuhan, China.&lt;/auth-address&gt;&lt;titles&gt;&lt;title&gt;Combinatorial Minigenome Systems for Emerging Banyangviruses Reveal Viral Reassortment Potential and Importance of a Protruding Nucleotide in Genome &amp;quot;Panhandle&amp;quot; for Promoter Activity and Reassortment&lt;/title&gt;&lt;secondary-title&gt;Front Microbiol&lt;/secondary-title&gt;&lt;/titles&gt;&lt;periodical&gt;&lt;full-title&gt;Front Microbiol&lt;/full-title&gt;&lt;/periodical&gt;&lt;pages&gt;599&lt;/pages&gt;&lt;volume&gt;11&lt;/volume&gt;&lt;keywords&gt;&lt;keyword&gt;banyangvirus&lt;/keyword&gt;&lt;keyword&gt;genome panhandle&lt;/keyword&gt;&lt;keyword&gt;heartland virus (HRTV)&lt;/keyword&gt;&lt;keyword&gt;minigenome&lt;/keyword&gt;&lt;keyword&gt;reassortment&lt;/keyword&gt;&lt;keyword&gt;reverse genetics&lt;/keyword&gt;&lt;keyword&gt;severe fever with thrombocytopenia syndrome virus (SFTSV)&lt;/keyword&gt;&lt;keyword&gt;untranslated region (UTR)&lt;/keyword&gt;&lt;/keywords&gt;&lt;dates&gt;&lt;year&gt;2020&lt;/year&gt;&lt;/dates&gt;&lt;isbn&gt;1664-302X (Print)&amp;#xD;1664-302X (Linking)&lt;/isbn&gt;&lt;accession-num&gt;32322247&lt;/accession-num&gt;&lt;urls&gt;&lt;related-urls&gt;&lt;url&gt;http://www.ncbi.nlm.nih.gov/pubmed/32322247&lt;/url&gt;&lt;/related-urls&gt;&lt;/urls&gt;&lt;custom2&gt;PMC7156889&lt;/custom2&gt;&lt;electronic-resource-num&gt;10.3389/fmicb.2020.00599&lt;/electronic-resource-num&gt;&lt;/record&gt;&lt;/Cite&gt;&lt;/EndNote&gt;</w:instrText>
      </w:r>
      <w:r>
        <w:rPr>
          <w:rFonts w:ascii="Times New Roman" w:hAnsi="Times New Roman" w:cs="Times New Roman"/>
          <w:sz w:val="21"/>
          <w:szCs w:val="21"/>
        </w:rPr>
        <w:fldChar w:fldCharType="separate"/>
      </w:r>
      <w:r>
        <w:rPr>
          <w:rFonts w:ascii="Times New Roman" w:hAnsi="Times New Roman" w:cs="Times New Roman"/>
          <w:sz w:val="21"/>
          <w:szCs w:val="21"/>
        </w:rPr>
        <w:t>(Ren</w:t>
      </w:r>
      <w:r>
        <w:rPr>
          <w:rFonts w:ascii="Times New Roman" w:hAnsi="Times New Roman" w:cs="Times New Roman"/>
          <w:i/>
          <w:sz w:val="21"/>
          <w:szCs w:val="21"/>
        </w:rPr>
        <w:t xml:space="preserve"> </w:t>
      </w:r>
      <w:r>
        <w:rPr>
          <w:rFonts w:ascii="Times New Roman" w:hAnsi="Times New Roman" w:cs="Times New Roman"/>
          <w:sz w:val="21"/>
          <w:szCs w:val="21"/>
        </w:rPr>
        <w:t>et al.</w:t>
      </w:r>
      <w:r>
        <w:rPr>
          <w:rFonts w:ascii="Times New Roman" w:hAnsi="Times New Roman" w:cs="Times New Roman" w:hint="eastAsia"/>
          <w:sz w:val="21"/>
          <w:szCs w:val="21"/>
        </w:rPr>
        <w:t>,</w:t>
      </w:r>
      <w:r>
        <w:rPr>
          <w:rFonts w:ascii="Times New Roman" w:hAnsi="Times New Roman" w:cs="Times New Roman"/>
          <w:sz w:val="21"/>
          <w:szCs w:val="21"/>
        </w:rPr>
        <w:t xml:space="preserve"> 2020)</w:t>
      </w:r>
      <w:r>
        <w:rPr>
          <w:rFonts w:ascii="Times New Roman" w:hAnsi="Times New Roman" w:cs="Times New Roman"/>
          <w:sz w:val="21"/>
          <w:szCs w:val="21"/>
        </w:rPr>
        <w:fldChar w:fldCharType="end"/>
      </w:r>
      <w:r>
        <w:rPr>
          <w:rFonts w:ascii="Times New Roman" w:hAnsi="Times New Roman" w:cs="Times New Roman"/>
          <w:sz w:val="21"/>
          <w:szCs w:val="21"/>
        </w:rPr>
        <w:t xml:space="preserve">. Briefly, the strain SFTSV-WCH was used as a template for clones of NP and </w:t>
      </w:r>
      <w:r>
        <w:rPr>
          <w:rFonts w:ascii="Times New Roman" w:hAnsi="Times New Roman" w:cs="Times New Roman"/>
          <w:sz w:val="21"/>
          <w:szCs w:val="21"/>
        </w:rPr>
        <w:lastRenderedPageBreak/>
        <w:t>RdRp ORFs, resulting in the expression plasmids pCAGGS-NP and pCAGGS-RdRp for the NP and L proteins, respectively. The M-segment-based constructs contained the enhanced green fluorescent protein (eGFP) or the Ranilla luciferase protein between a PolI promoter and a hepatitis delta virus ribozyme (HDVR) sequence in the negative sense flanked by viral genomic sense M-UTR sequences, and these were called pRF42-SFTSV-MeGFP or pRF42 h-SFTSV-MLuc.</w:t>
      </w:r>
    </w:p>
    <w:p w:rsidR="00ED01D1" w:rsidRDefault="00ED01D1" w:rsidP="00ED01D1">
      <w:pPr>
        <w:pStyle w:val="NormalWeb"/>
        <w:shd w:val="clear" w:color="auto" w:fill="FFFFFF"/>
        <w:spacing w:line="360" w:lineRule="auto"/>
        <w:ind w:firstLineChars="200" w:firstLine="420"/>
        <w:rPr>
          <w:rFonts w:ascii="Times New Roman" w:hAnsi="Times New Roman" w:cs="Times New Roman"/>
          <w:sz w:val="21"/>
          <w:szCs w:val="21"/>
        </w:rPr>
      </w:pPr>
      <w:r>
        <w:rPr>
          <w:rFonts w:ascii="Times New Roman" w:hAnsi="Times New Roman" w:cs="Times New Roman"/>
          <w:sz w:val="21"/>
          <w:szCs w:val="21"/>
        </w:rPr>
        <w:t>HEK 293T cells (5</w:t>
      </w:r>
      <w:r>
        <w:rPr>
          <w:rFonts w:ascii="Times New Roman" w:hAnsi="Times New Roman" w:cs="Times New Roman" w:hint="eastAsia"/>
          <w:sz w:val="21"/>
          <w:szCs w:val="21"/>
        </w:rPr>
        <w:t xml:space="preserve"> </w:t>
      </w:r>
      <w:r>
        <w:rPr>
          <w:rFonts w:ascii="Times New Roman" w:hAnsi="Times New Roman" w:cs="Times New Roman"/>
          <w:sz w:val="21"/>
          <w:szCs w:val="21"/>
        </w:rPr>
        <w:t>×</w:t>
      </w:r>
      <w:r>
        <w:rPr>
          <w:rFonts w:ascii="Times New Roman" w:hAnsi="Times New Roman" w:cs="Times New Roman" w:hint="eastAsia"/>
          <w:sz w:val="21"/>
          <w:szCs w:val="21"/>
        </w:rPr>
        <w:t xml:space="preserve"> </w:t>
      </w:r>
      <w:r>
        <w:rPr>
          <w:rFonts w:ascii="Times New Roman" w:hAnsi="Times New Roman" w:cs="Times New Roman"/>
          <w:sz w:val="21"/>
          <w:szCs w:val="21"/>
        </w:rPr>
        <w:t>10</w:t>
      </w:r>
      <w:r>
        <w:rPr>
          <w:rFonts w:ascii="Times New Roman" w:hAnsi="Times New Roman" w:cs="Times New Roman"/>
          <w:sz w:val="21"/>
          <w:szCs w:val="21"/>
          <w:vertAlign w:val="superscript"/>
        </w:rPr>
        <w:t>4</w:t>
      </w:r>
      <w:r>
        <w:rPr>
          <w:rFonts w:ascii="Times New Roman" w:hAnsi="Times New Roman" w:cs="Times New Roman"/>
          <w:sz w:val="21"/>
          <w:szCs w:val="21"/>
        </w:rPr>
        <w:t>/well) were seeded into 24-well plates in 10% complete DMEM for 24 h at 37 °C with 5% CO</w:t>
      </w:r>
      <w:r>
        <w:rPr>
          <w:rFonts w:ascii="Times New Roman" w:hAnsi="Times New Roman" w:cs="Times New Roman"/>
          <w:sz w:val="21"/>
          <w:szCs w:val="21"/>
          <w:vertAlign w:val="subscript"/>
        </w:rPr>
        <w:t>2</w:t>
      </w:r>
      <w:r>
        <w:rPr>
          <w:rFonts w:ascii="Times New Roman" w:hAnsi="Times New Roman" w:cs="Times New Roman"/>
          <w:sz w:val="21"/>
          <w:szCs w:val="21"/>
        </w:rPr>
        <w:t xml:space="preserve"> before transfection. Then, a total of 2.0 μg of the plasmid mixture was transfected into the cells using Lipofectamine 3000 (Invitrogen, Carlsbad, USA) according to the manufacturer’s protocols. The minigenome plasmid mixture consisted of an L protein expression plasmid (pCAGGs-SFTSV-RdRp or different truncated domains and site mutation plasmids), a reporter plasmid (pRF42-SFTSV-MeGFP or pRF42 h-SFTSV-MLuc) and a nucleoprotein expression plasmid (pCAGGs-SFTSV-NP) at a ratio of 2:1:1. The replication activity was then measured 42 h posttransfection by quantifying the eGFP signal under a high content imaging analysis system (PerkinElmer) or by detecting luciferase activity via a Dual-Lumi™ Luciferase Assay Kit (Beyotime, Nanjing, China) according to the manufacturer’s protocols. The activities of each luciferase-based minigenome system with the mutated L protein were measured as luciferase light units (llus) relative to the fold change of the llu of the minigenome with the wild L protein.</w:t>
      </w:r>
    </w:p>
    <w:p w:rsidR="00ED01D1" w:rsidRDefault="00ED01D1" w:rsidP="00ED01D1">
      <w:pPr>
        <w:pStyle w:val="NormalWeb"/>
        <w:shd w:val="clear" w:color="auto" w:fill="FFFFFF"/>
        <w:spacing w:line="360" w:lineRule="auto"/>
        <w:ind w:firstLineChars="200" w:firstLine="420"/>
        <w:rPr>
          <w:rFonts w:ascii="Times New Roman" w:hAnsi="Times New Roman" w:cs="Times New Roman"/>
          <w:sz w:val="21"/>
          <w:szCs w:val="21"/>
        </w:rPr>
      </w:pPr>
    </w:p>
    <w:p w:rsidR="00ED01D1" w:rsidRDefault="00ED01D1" w:rsidP="00ED01D1">
      <w:pPr>
        <w:pStyle w:val="NormalWeb"/>
        <w:shd w:val="clear" w:color="auto" w:fill="FFFFFF"/>
        <w:spacing w:line="360" w:lineRule="auto"/>
        <w:rPr>
          <w:rFonts w:ascii="Times New Roman" w:hAnsi="Times New Roman" w:cs="Times New Roman"/>
          <w:b/>
          <w:sz w:val="21"/>
          <w:szCs w:val="21"/>
        </w:rPr>
      </w:pPr>
      <w:r>
        <w:rPr>
          <w:rFonts w:ascii="Times New Roman" w:hAnsi="Times New Roman" w:cs="Times New Roman" w:hint="eastAsia"/>
          <w:b/>
          <w:sz w:val="21"/>
          <w:szCs w:val="21"/>
        </w:rPr>
        <w:t>Bioinformatic analyses</w:t>
      </w:r>
    </w:p>
    <w:p w:rsidR="00ED01D1" w:rsidRDefault="00ED01D1" w:rsidP="00ED01D1">
      <w:pPr>
        <w:widowControl/>
        <w:spacing w:line="360" w:lineRule="auto"/>
        <w:ind w:firstLineChars="200" w:firstLine="420"/>
        <w:rPr>
          <w:szCs w:val="21"/>
        </w:rPr>
      </w:pPr>
      <w:r>
        <w:rPr>
          <w:rFonts w:ascii="Times New Roman" w:hAnsi="Times New Roman"/>
          <w:szCs w:val="21"/>
        </w:rPr>
        <w:t>Alignment of L protein amino sequences of the Guertu virus (GTV, YP_009666941), Malsoor virus (MLV, AHF71068), Hunter Island virus (H</w:t>
      </w:r>
      <w:r>
        <w:rPr>
          <w:rFonts w:ascii="Times New Roman" w:hAnsi="Times New Roman" w:hint="eastAsia"/>
          <w:szCs w:val="21"/>
        </w:rPr>
        <w:t>TI</w:t>
      </w:r>
      <w:r>
        <w:rPr>
          <w:rFonts w:ascii="Times New Roman" w:hAnsi="Times New Roman"/>
          <w:szCs w:val="21"/>
        </w:rPr>
        <w:t>V, AHI10994), Heartland virus (H</w:t>
      </w:r>
      <w:r>
        <w:rPr>
          <w:rFonts w:ascii="Times New Roman" w:hAnsi="Times New Roman" w:hint="eastAsia"/>
          <w:szCs w:val="21"/>
        </w:rPr>
        <w:t>RT</w:t>
      </w:r>
      <w:r>
        <w:rPr>
          <w:rFonts w:ascii="Times New Roman" w:hAnsi="Times New Roman"/>
          <w:szCs w:val="21"/>
        </w:rPr>
        <w:t>V, UDE22461) and SFTSV (AFH88226) were performed using CLUSTAL</w:t>
      </w:r>
      <w:r>
        <w:rPr>
          <w:rFonts w:ascii="Times New Roman" w:hAnsi="Times New Roman" w:hint="eastAsia"/>
          <w:szCs w:val="21"/>
        </w:rPr>
        <w:t xml:space="preserve"> </w:t>
      </w:r>
      <w:r>
        <w:rPr>
          <w:rFonts w:ascii="Times New Roman" w:hAnsi="Times New Roman"/>
          <w:szCs w:val="21"/>
        </w:rPr>
        <w:t xml:space="preserve">W. </w:t>
      </w:r>
      <w:r>
        <w:rPr>
          <w:rFonts w:ascii="Times New Roman" w:hAnsi="Times New Roman" w:hint="eastAsia"/>
          <w:szCs w:val="21"/>
        </w:rPr>
        <w:t>Modification and presentation of the alignment was performed using</w:t>
      </w:r>
      <w:r>
        <w:rPr>
          <w:rFonts w:ascii="Times New Roman" w:hAnsi="Times New Roman"/>
          <w:szCs w:val="21"/>
        </w:rPr>
        <w:t> ESPript</w:t>
      </w:r>
      <w:r>
        <w:rPr>
          <w:rFonts w:ascii="Times New Roman" w:hAnsi="Times New Roman" w:hint="eastAsia"/>
          <w:szCs w:val="21"/>
        </w:rPr>
        <w:t xml:space="preserve"> </w:t>
      </w:r>
      <w:r>
        <w:rPr>
          <w:rFonts w:ascii="Times New Roman" w:hAnsi="Times New Roman" w:hint="eastAsia"/>
          <w:szCs w:val="21"/>
        </w:rPr>
        <w:fldChar w:fldCharType="begin"/>
      </w:r>
      <w:r>
        <w:rPr>
          <w:rFonts w:ascii="Times New Roman" w:hAnsi="Times New Roman"/>
          <w:szCs w:val="21"/>
        </w:rPr>
        <w:instrText xml:space="preserve"> ADDIN EN.CITE </w:instrText>
      </w:r>
      <w:r>
        <w:rPr>
          <w:rFonts w:ascii="Times New Roman" w:hAnsi="Times New Roman"/>
          <w:szCs w:val="21"/>
        </w:rPr>
        <w:fldChar w:fldCharType="begin"/>
      </w:r>
      <w:r>
        <w:rPr>
          <w:rFonts w:ascii="Times New Roman" w:hAnsi="Times New Roman"/>
          <w:szCs w:val="21"/>
        </w:rPr>
        <w:instrText xml:space="preserve"> ADDIN EN.CITE.DATA </w:instrText>
      </w:r>
      <w:r>
        <w:rPr>
          <w:rFonts w:ascii="Times New Roman" w:hAnsi="Times New Roman"/>
          <w:szCs w:val="21"/>
        </w:rPr>
        <w:fldChar w:fldCharType="end"/>
      </w:r>
      <w:r>
        <w:rPr>
          <w:rFonts w:ascii="Times New Roman" w:hAnsi="Times New Roman" w:hint="eastAsia"/>
          <w:szCs w:val="21"/>
        </w:rPr>
        <w:fldChar w:fldCharType="separate"/>
      </w:r>
      <w:r>
        <w:rPr>
          <w:rFonts w:ascii="Times New Roman" w:hAnsi="Times New Roman" w:hint="eastAsia"/>
          <w:szCs w:val="21"/>
        </w:rPr>
        <w:t>(Robert and Gouet, 2014)</w:t>
      </w:r>
      <w:r>
        <w:rPr>
          <w:rFonts w:ascii="Times New Roman" w:hAnsi="Times New Roman" w:hint="eastAsia"/>
          <w:szCs w:val="21"/>
        </w:rPr>
        <w:fldChar w:fldCharType="end"/>
      </w:r>
      <w:r>
        <w:rPr>
          <w:rFonts w:ascii="Times New Roman" w:hAnsi="Times New Roman" w:hint="eastAsia"/>
          <w:szCs w:val="21"/>
        </w:rPr>
        <w:t xml:space="preserve">. </w:t>
      </w:r>
      <w:r>
        <w:rPr>
          <w:rFonts w:ascii="Times New Roman" w:hAnsi="Times New Roman"/>
          <w:szCs w:val="21"/>
        </w:rPr>
        <w:t xml:space="preserve">Visualization </w:t>
      </w:r>
      <w:r>
        <w:rPr>
          <w:rFonts w:ascii="Times New Roman" w:hAnsi="Times New Roman" w:hint="eastAsia"/>
          <w:szCs w:val="21"/>
        </w:rPr>
        <w:t xml:space="preserve">and annotation </w:t>
      </w:r>
      <w:r>
        <w:rPr>
          <w:rFonts w:ascii="Times New Roman" w:hAnsi="Times New Roman"/>
          <w:szCs w:val="21"/>
        </w:rPr>
        <w:t>of the atomic model for SFTSV-L</w:t>
      </w:r>
      <w:r>
        <w:rPr>
          <w:rFonts w:ascii="Times New Roman" w:hAnsi="Times New Roman" w:hint="eastAsia"/>
          <w:szCs w:val="21"/>
        </w:rPr>
        <w:t xml:space="preserve"> </w:t>
      </w:r>
      <w:r>
        <w:rPr>
          <w:rFonts w:ascii="Times New Roman" w:hAnsi="Times New Roman"/>
          <w:szCs w:val="21"/>
        </w:rPr>
        <w:t>(PDB</w:t>
      </w:r>
      <w:r>
        <w:rPr>
          <w:rFonts w:ascii="Times New Roman" w:hAnsi="Times New Roman" w:hint="eastAsia"/>
          <w:szCs w:val="21"/>
        </w:rPr>
        <w:t xml:space="preserve"> no. </w:t>
      </w:r>
      <w:r>
        <w:rPr>
          <w:rFonts w:ascii="Times New Roman" w:hAnsi="Times New Roman"/>
          <w:szCs w:val="21"/>
        </w:rPr>
        <w:t xml:space="preserve">6L42) was </w:t>
      </w:r>
      <w:r>
        <w:rPr>
          <w:rFonts w:ascii="Times New Roman" w:hAnsi="Times New Roman" w:hint="eastAsia"/>
          <w:szCs w:val="21"/>
        </w:rPr>
        <w:t>performed</w:t>
      </w:r>
      <w:r>
        <w:rPr>
          <w:rFonts w:ascii="Times New Roman" w:hAnsi="Times New Roman"/>
          <w:szCs w:val="21"/>
        </w:rPr>
        <w:t xml:space="preserve"> using with PyMOL </w:t>
      </w:r>
      <w:r>
        <w:rPr>
          <w:rFonts w:ascii="Times New Roman" w:hAnsi="Times New Roman"/>
          <w:color w:val="231F20"/>
          <w:szCs w:val="21"/>
        </w:rPr>
        <w:t>Molecular Graphics System, Version 1.4.1</w:t>
      </w:r>
      <w:r>
        <w:rPr>
          <w:rFonts w:ascii="Times New Roman" w:hAnsi="Times New Roman" w:hint="eastAsia"/>
          <w:szCs w:val="21"/>
        </w:rPr>
        <w:t>.</w:t>
      </w:r>
    </w:p>
    <w:p w:rsidR="00ED01D1" w:rsidRDefault="00ED01D1" w:rsidP="00ED01D1">
      <w:pPr>
        <w:pStyle w:val="NormalWeb"/>
        <w:shd w:val="clear" w:color="auto" w:fill="FFFFFF"/>
        <w:spacing w:line="360" w:lineRule="auto"/>
        <w:rPr>
          <w:rFonts w:ascii="Times New Roman" w:hAnsi="Times New Roman" w:cs="Times New Roman"/>
          <w:sz w:val="21"/>
          <w:szCs w:val="21"/>
        </w:rPr>
      </w:pPr>
    </w:p>
    <w:p w:rsidR="00ED01D1" w:rsidRDefault="00ED01D1" w:rsidP="00ED01D1">
      <w:pPr>
        <w:pStyle w:val="NormalWeb"/>
        <w:shd w:val="clear" w:color="auto" w:fill="FFFFFF"/>
        <w:spacing w:line="360" w:lineRule="auto"/>
        <w:rPr>
          <w:rFonts w:ascii="Times New Roman" w:hAnsi="Times New Roman" w:cs="Times New Roman"/>
          <w:b/>
          <w:sz w:val="21"/>
          <w:szCs w:val="21"/>
        </w:rPr>
      </w:pPr>
      <w:r>
        <w:rPr>
          <w:rFonts w:ascii="Times New Roman" w:hAnsi="Times New Roman" w:cs="Times New Roman"/>
          <w:b/>
          <w:sz w:val="21"/>
          <w:szCs w:val="21"/>
        </w:rPr>
        <w:lastRenderedPageBreak/>
        <w:t>Reference</w:t>
      </w:r>
    </w:p>
    <w:p w:rsidR="00ED01D1" w:rsidRPr="00885FAB" w:rsidRDefault="00ED01D1" w:rsidP="00ED01D1">
      <w:pPr>
        <w:pStyle w:val="NormalWeb"/>
        <w:ind w:left="720" w:hanging="720"/>
        <w:rPr>
          <w:rFonts w:ascii="Times New Roman" w:hAnsi="Times New Roman" w:cs="Times New Roman"/>
          <w:sz w:val="22"/>
        </w:rPr>
      </w:pPr>
      <w:r w:rsidRPr="00885FAB">
        <w:rPr>
          <w:rFonts w:ascii="Times New Roman" w:hAnsi="Times New Roman" w:cs="Times New Roman"/>
          <w:sz w:val="22"/>
        </w:rPr>
        <w:fldChar w:fldCharType="begin"/>
      </w:r>
      <w:r w:rsidRPr="00885FAB">
        <w:rPr>
          <w:rFonts w:ascii="Times New Roman" w:hAnsi="Times New Roman" w:cs="Times New Roman"/>
          <w:sz w:val="22"/>
        </w:rPr>
        <w:instrText xml:space="preserve"> ADDIN EN.REFLIST </w:instrText>
      </w:r>
      <w:r w:rsidRPr="00885FAB">
        <w:rPr>
          <w:rFonts w:ascii="Times New Roman" w:hAnsi="Times New Roman" w:cs="Times New Roman"/>
          <w:sz w:val="22"/>
        </w:rPr>
        <w:fldChar w:fldCharType="separate"/>
      </w:r>
      <w:r w:rsidRPr="00885FAB">
        <w:rPr>
          <w:rFonts w:ascii="Times New Roman" w:hAnsi="Times New Roman" w:cs="Times New Roman"/>
          <w:sz w:val="22"/>
        </w:rPr>
        <w:t>N</w:t>
      </w:r>
      <w:r w:rsidRPr="00885FAB">
        <w:rPr>
          <w:rFonts w:ascii="Times New Roman" w:hAnsi="Times New Roman" w:cs="Times New Roman" w:hint="eastAsia"/>
          <w:sz w:val="22"/>
        </w:rPr>
        <w:t>ing</w:t>
      </w:r>
      <w:r w:rsidRPr="00885FAB">
        <w:rPr>
          <w:rFonts w:ascii="Times New Roman" w:hAnsi="Times New Roman" w:cs="Times New Roman"/>
          <w:sz w:val="22"/>
        </w:rPr>
        <w:t>, Y. J., M</w:t>
      </w:r>
      <w:r w:rsidRPr="00885FAB">
        <w:rPr>
          <w:rFonts w:ascii="Times New Roman" w:hAnsi="Times New Roman" w:cs="Times New Roman" w:hint="eastAsia"/>
          <w:sz w:val="22"/>
        </w:rPr>
        <w:t>o</w:t>
      </w:r>
      <w:r w:rsidRPr="00885FAB">
        <w:rPr>
          <w:rFonts w:ascii="Times New Roman" w:hAnsi="Times New Roman" w:cs="Times New Roman"/>
          <w:sz w:val="22"/>
        </w:rPr>
        <w:t>, Q., F</w:t>
      </w:r>
      <w:r w:rsidRPr="00885FAB">
        <w:rPr>
          <w:rFonts w:ascii="Times New Roman" w:hAnsi="Times New Roman" w:cs="Times New Roman" w:hint="eastAsia"/>
          <w:sz w:val="22"/>
        </w:rPr>
        <w:t>eng</w:t>
      </w:r>
      <w:r w:rsidRPr="00885FAB">
        <w:rPr>
          <w:rFonts w:ascii="Times New Roman" w:hAnsi="Times New Roman" w:cs="Times New Roman"/>
          <w:sz w:val="22"/>
        </w:rPr>
        <w:t>, K., M</w:t>
      </w:r>
      <w:r w:rsidRPr="00885FAB">
        <w:rPr>
          <w:rFonts w:ascii="Times New Roman" w:hAnsi="Times New Roman" w:cs="Times New Roman" w:hint="eastAsia"/>
          <w:sz w:val="22"/>
        </w:rPr>
        <w:t>in</w:t>
      </w:r>
      <w:r w:rsidRPr="00885FAB">
        <w:rPr>
          <w:rFonts w:ascii="Times New Roman" w:hAnsi="Times New Roman" w:cs="Times New Roman"/>
          <w:sz w:val="22"/>
        </w:rPr>
        <w:t>, Y. Q., L</w:t>
      </w:r>
      <w:r w:rsidRPr="00885FAB">
        <w:rPr>
          <w:rFonts w:ascii="Times New Roman" w:hAnsi="Times New Roman" w:cs="Times New Roman" w:hint="eastAsia"/>
          <w:sz w:val="22"/>
        </w:rPr>
        <w:t>i</w:t>
      </w:r>
      <w:r w:rsidRPr="00885FAB">
        <w:rPr>
          <w:rFonts w:ascii="Times New Roman" w:hAnsi="Times New Roman" w:cs="Times New Roman"/>
          <w:sz w:val="22"/>
        </w:rPr>
        <w:t>, M., H</w:t>
      </w:r>
      <w:r w:rsidRPr="00885FAB">
        <w:rPr>
          <w:rFonts w:ascii="Times New Roman" w:hAnsi="Times New Roman" w:cs="Times New Roman" w:hint="eastAsia"/>
          <w:sz w:val="22"/>
        </w:rPr>
        <w:t>ou</w:t>
      </w:r>
      <w:r w:rsidRPr="00885FAB">
        <w:rPr>
          <w:rFonts w:ascii="Times New Roman" w:hAnsi="Times New Roman" w:cs="Times New Roman"/>
          <w:sz w:val="22"/>
        </w:rPr>
        <w:t>, D., P</w:t>
      </w:r>
      <w:r w:rsidRPr="00885FAB">
        <w:rPr>
          <w:rFonts w:ascii="Times New Roman" w:hAnsi="Times New Roman" w:cs="Times New Roman" w:hint="eastAsia"/>
          <w:sz w:val="22"/>
        </w:rPr>
        <w:t>eng</w:t>
      </w:r>
      <w:r w:rsidRPr="00885FAB">
        <w:rPr>
          <w:rFonts w:ascii="Times New Roman" w:hAnsi="Times New Roman" w:cs="Times New Roman"/>
          <w:sz w:val="22"/>
        </w:rPr>
        <w:t>, C., Z</w:t>
      </w:r>
      <w:r w:rsidRPr="00885FAB">
        <w:rPr>
          <w:rFonts w:ascii="Times New Roman" w:hAnsi="Times New Roman" w:cs="Times New Roman" w:hint="eastAsia"/>
          <w:sz w:val="22"/>
        </w:rPr>
        <w:t>heng</w:t>
      </w:r>
      <w:r w:rsidRPr="00885FAB">
        <w:rPr>
          <w:rFonts w:ascii="Times New Roman" w:hAnsi="Times New Roman" w:cs="Times New Roman"/>
          <w:sz w:val="22"/>
        </w:rPr>
        <w:t>, X., D</w:t>
      </w:r>
      <w:r w:rsidRPr="00885FAB">
        <w:rPr>
          <w:rFonts w:ascii="Times New Roman" w:hAnsi="Times New Roman" w:cs="Times New Roman" w:hint="eastAsia"/>
          <w:sz w:val="22"/>
        </w:rPr>
        <w:t>eng</w:t>
      </w:r>
      <w:r w:rsidRPr="00885FAB">
        <w:rPr>
          <w:rFonts w:ascii="Times New Roman" w:hAnsi="Times New Roman" w:cs="Times New Roman"/>
          <w:sz w:val="22"/>
        </w:rPr>
        <w:t>, F., H</w:t>
      </w:r>
      <w:r w:rsidRPr="00885FAB">
        <w:rPr>
          <w:rFonts w:ascii="Times New Roman" w:hAnsi="Times New Roman" w:cs="Times New Roman" w:hint="eastAsia"/>
          <w:sz w:val="22"/>
        </w:rPr>
        <w:t>u</w:t>
      </w:r>
      <w:r w:rsidRPr="00885FAB">
        <w:rPr>
          <w:rFonts w:ascii="Times New Roman" w:hAnsi="Times New Roman" w:cs="Times New Roman"/>
          <w:sz w:val="22"/>
        </w:rPr>
        <w:t>, Z. &amp; W</w:t>
      </w:r>
      <w:r w:rsidRPr="00885FAB">
        <w:rPr>
          <w:rFonts w:ascii="Times New Roman" w:hAnsi="Times New Roman" w:cs="Times New Roman" w:hint="eastAsia"/>
          <w:sz w:val="22"/>
        </w:rPr>
        <w:t>ang</w:t>
      </w:r>
      <w:r w:rsidRPr="00885FAB">
        <w:rPr>
          <w:rFonts w:ascii="Times New Roman" w:hAnsi="Times New Roman" w:cs="Times New Roman"/>
          <w:sz w:val="22"/>
        </w:rPr>
        <w:t>, H. 2019. Interferon-gamma-Directed Inhibition of a Novel High-Pathogenic Phlebovirus and Viral Antagonism of the Antiviral Signaling by Targeting STAT1. Front</w:t>
      </w:r>
      <w:r w:rsidRPr="00885FAB">
        <w:rPr>
          <w:rFonts w:ascii="Times New Roman" w:hAnsi="Times New Roman" w:cs="Times New Roman" w:hint="eastAsia"/>
          <w:sz w:val="22"/>
        </w:rPr>
        <w:t>.</w:t>
      </w:r>
      <w:r w:rsidRPr="00885FAB">
        <w:rPr>
          <w:rFonts w:ascii="Times New Roman" w:hAnsi="Times New Roman" w:cs="Times New Roman"/>
          <w:sz w:val="22"/>
        </w:rPr>
        <w:t xml:space="preserve"> Immunol</w:t>
      </w:r>
      <w:r w:rsidRPr="00885FAB">
        <w:rPr>
          <w:rFonts w:ascii="Times New Roman" w:hAnsi="Times New Roman" w:cs="Times New Roman" w:hint="eastAsia"/>
          <w:sz w:val="22"/>
        </w:rPr>
        <w:t>.</w:t>
      </w:r>
      <w:r w:rsidRPr="00885FAB">
        <w:rPr>
          <w:rFonts w:ascii="Times New Roman" w:hAnsi="Times New Roman" w:cs="Times New Roman"/>
          <w:sz w:val="22"/>
        </w:rPr>
        <w:t xml:space="preserve"> 10, 1182.</w:t>
      </w:r>
    </w:p>
    <w:p w:rsidR="00ED01D1" w:rsidRPr="00885FAB" w:rsidRDefault="00ED01D1" w:rsidP="00ED01D1">
      <w:pPr>
        <w:pStyle w:val="NormalWeb"/>
        <w:ind w:left="720" w:hanging="720"/>
        <w:rPr>
          <w:rFonts w:ascii="Times New Roman" w:hAnsi="Times New Roman" w:cs="Times New Roman"/>
          <w:sz w:val="22"/>
        </w:rPr>
      </w:pPr>
      <w:r w:rsidRPr="00885FAB">
        <w:rPr>
          <w:rFonts w:ascii="Times New Roman" w:hAnsi="Times New Roman" w:cs="Times New Roman"/>
          <w:sz w:val="22"/>
        </w:rPr>
        <w:t>R</w:t>
      </w:r>
      <w:r w:rsidRPr="00885FAB">
        <w:rPr>
          <w:rFonts w:ascii="Times New Roman" w:hAnsi="Times New Roman" w:cs="Times New Roman" w:hint="eastAsia"/>
          <w:sz w:val="22"/>
        </w:rPr>
        <w:t>en</w:t>
      </w:r>
      <w:r w:rsidRPr="00885FAB">
        <w:rPr>
          <w:rFonts w:ascii="Times New Roman" w:hAnsi="Times New Roman" w:cs="Times New Roman"/>
          <w:sz w:val="22"/>
        </w:rPr>
        <w:t>, F., Z</w:t>
      </w:r>
      <w:r w:rsidRPr="00885FAB">
        <w:rPr>
          <w:rFonts w:ascii="Times New Roman" w:hAnsi="Times New Roman" w:cs="Times New Roman" w:hint="eastAsia"/>
          <w:sz w:val="22"/>
        </w:rPr>
        <w:t>hou</w:t>
      </w:r>
      <w:r w:rsidRPr="00885FAB">
        <w:rPr>
          <w:rFonts w:ascii="Times New Roman" w:hAnsi="Times New Roman" w:cs="Times New Roman"/>
          <w:sz w:val="22"/>
        </w:rPr>
        <w:t>, M., D</w:t>
      </w:r>
      <w:r w:rsidRPr="00885FAB">
        <w:rPr>
          <w:rFonts w:ascii="Times New Roman" w:hAnsi="Times New Roman" w:cs="Times New Roman" w:hint="eastAsia"/>
          <w:sz w:val="22"/>
        </w:rPr>
        <w:t>eng</w:t>
      </w:r>
      <w:r w:rsidRPr="00885FAB">
        <w:rPr>
          <w:rFonts w:ascii="Times New Roman" w:hAnsi="Times New Roman" w:cs="Times New Roman"/>
          <w:sz w:val="22"/>
        </w:rPr>
        <w:t>, F., W</w:t>
      </w:r>
      <w:r w:rsidRPr="00885FAB">
        <w:rPr>
          <w:rFonts w:ascii="Times New Roman" w:hAnsi="Times New Roman" w:cs="Times New Roman" w:hint="eastAsia"/>
          <w:sz w:val="22"/>
        </w:rPr>
        <w:t>ang</w:t>
      </w:r>
      <w:r w:rsidRPr="00885FAB">
        <w:rPr>
          <w:rFonts w:ascii="Times New Roman" w:hAnsi="Times New Roman" w:cs="Times New Roman"/>
          <w:sz w:val="22"/>
        </w:rPr>
        <w:t>, H. &amp; N</w:t>
      </w:r>
      <w:r w:rsidRPr="00885FAB">
        <w:rPr>
          <w:rFonts w:ascii="Times New Roman" w:hAnsi="Times New Roman" w:cs="Times New Roman" w:hint="eastAsia"/>
          <w:sz w:val="22"/>
        </w:rPr>
        <w:t>ing</w:t>
      </w:r>
      <w:r w:rsidRPr="00885FAB">
        <w:rPr>
          <w:rFonts w:ascii="Times New Roman" w:hAnsi="Times New Roman" w:cs="Times New Roman"/>
          <w:sz w:val="22"/>
        </w:rPr>
        <w:t>, Y. J. 2020. Combinatorial Minigenome Systems for Emerging Banyangviruses Reveal Viral Reassortment Potential and Importance of a Protruding Nucleotide in Genome "Panhandle" for Promoter Activity and Reassortment. Front</w:t>
      </w:r>
      <w:r w:rsidRPr="00885FAB">
        <w:rPr>
          <w:rFonts w:ascii="Times New Roman" w:hAnsi="Times New Roman" w:cs="Times New Roman" w:hint="eastAsia"/>
          <w:sz w:val="22"/>
        </w:rPr>
        <w:t>.</w:t>
      </w:r>
      <w:r w:rsidRPr="00885FAB">
        <w:rPr>
          <w:rFonts w:ascii="Times New Roman" w:hAnsi="Times New Roman" w:cs="Times New Roman"/>
          <w:sz w:val="22"/>
        </w:rPr>
        <w:t xml:space="preserve"> Microbiol</w:t>
      </w:r>
      <w:r w:rsidRPr="00885FAB">
        <w:rPr>
          <w:rFonts w:ascii="Times New Roman" w:hAnsi="Times New Roman" w:cs="Times New Roman" w:hint="eastAsia"/>
          <w:sz w:val="22"/>
        </w:rPr>
        <w:t xml:space="preserve">. </w:t>
      </w:r>
      <w:r w:rsidRPr="00885FAB">
        <w:rPr>
          <w:rFonts w:ascii="Times New Roman" w:hAnsi="Times New Roman" w:cs="Times New Roman"/>
          <w:sz w:val="22"/>
        </w:rPr>
        <w:t>11, 599.</w:t>
      </w:r>
    </w:p>
    <w:p w:rsidR="00ED01D1" w:rsidRDefault="00ED01D1" w:rsidP="00ED01D1">
      <w:pPr>
        <w:pStyle w:val="NormalWeb"/>
        <w:ind w:left="720" w:hanging="720"/>
      </w:pPr>
      <w:r w:rsidRPr="00885FAB">
        <w:rPr>
          <w:rFonts w:ascii="Times New Roman" w:hAnsi="Times New Roman" w:cs="Times New Roman"/>
          <w:sz w:val="22"/>
        </w:rPr>
        <w:t>R</w:t>
      </w:r>
      <w:r w:rsidRPr="00885FAB">
        <w:rPr>
          <w:rFonts w:ascii="Times New Roman" w:hAnsi="Times New Roman" w:cs="Times New Roman" w:hint="eastAsia"/>
          <w:sz w:val="22"/>
        </w:rPr>
        <w:t>obert</w:t>
      </w:r>
      <w:r w:rsidRPr="00885FAB">
        <w:rPr>
          <w:rFonts w:ascii="Times New Roman" w:hAnsi="Times New Roman" w:cs="Times New Roman"/>
          <w:sz w:val="22"/>
        </w:rPr>
        <w:t>, X. &amp; G</w:t>
      </w:r>
      <w:r w:rsidRPr="00885FAB">
        <w:rPr>
          <w:rFonts w:ascii="Times New Roman" w:hAnsi="Times New Roman" w:cs="Times New Roman" w:hint="eastAsia"/>
          <w:sz w:val="22"/>
        </w:rPr>
        <w:t>ouet</w:t>
      </w:r>
      <w:r w:rsidRPr="00885FAB">
        <w:rPr>
          <w:rFonts w:ascii="Times New Roman" w:hAnsi="Times New Roman" w:cs="Times New Roman"/>
          <w:sz w:val="22"/>
        </w:rPr>
        <w:t>, P. 2014. Deciphering key features in protein structures with the new ENDscript server. Nucleic Acids Research, 42, W320-W324.</w:t>
      </w:r>
      <w:r w:rsidRPr="00885FAB">
        <w:rPr>
          <w:rFonts w:ascii="Times New Roman" w:hAnsi="Times New Roman" w:cs="Times New Roman"/>
          <w:sz w:val="22"/>
        </w:rPr>
        <w:fldChar w:fldCharType="end"/>
      </w:r>
    </w:p>
    <w:p w:rsidR="00ED01D1" w:rsidRDefault="00ED01D1" w:rsidP="00ED01D1">
      <w:pPr>
        <w:widowControl/>
        <w:jc w:val="left"/>
        <w:rPr>
          <w:rFonts w:ascii="Times New Roman" w:hAnsi="Times New Roman" w:cs="Times New Roman"/>
          <w:szCs w:val="21"/>
        </w:rPr>
      </w:pPr>
      <w:r>
        <w:rPr>
          <w:rFonts w:ascii="Times New Roman" w:hAnsi="Times New Roman" w:cs="Times New Roman"/>
          <w:szCs w:val="21"/>
        </w:rPr>
        <w:br w:type="page"/>
      </w:r>
    </w:p>
    <w:p w:rsidR="00ED01D1" w:rsidRDefault="00ED01D1" w:rsidP="00ED01D1">
      <w:pPr>
        <w:pStyle w:val="NormalWeb"/>
        <w:shd w:val="clear" w:color="auto" w:fill="FFFFFF"/>
        <w:spacing w:line="360" w:lineRule="auto"/>
        <w:jc w:val="center"/>
        <w:rPr>
          <w:rFonts w:ascii="Times New Roman" w:hAnsi="Times New Roman" w:cs="Times New Roman"/>
          <w:b/>
          <w:sz w:val="21"/>
          <w:szCs w:val="21"/>
        </w:rPr>
      </w:pPr>
      <w:r>
        <w:rPr>
          <w:rFonts w:ascii="Times New Roman" w:hAnsi="Times New Roman" w:cs="Times New Roman" w:hint="eastAsia"/>
          <w:b/>
          <w:noProof/>
          <w:sz w:val="21"/>
          <w:szCs w:val="21"/>
          <w:lang w:eastAsia="en-US"/>
        </w:rPr>
        <w:lastRenderedPageBreak/>
        <w:drawing>
          <wp:inline distT="0" distB="0" distL="0" distR="0" wp14:anchorId="1C6CB8B9" wp14:editId="11F75851">
            <wp:extent cx="2880000" cy="19849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1 80mm.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984994"/>
                    </a:xfrm>
                    <a:prstGeom prst="rect">
                      <a:avLst/>
                    </a:prstGeom>
                  </pic:spPr>
                </pic:pic>
              </a:graphicData>
            </a:graphic>
          </wp:inline>
        </w:drawing>
      </w:r>
    </w:p>
    <w:p w:rsidR="00ED01D1" w:rsidRDefault="00ED01D1" w:rsidP="00ED01D1">
      <w:pPr>
        <w:pStyle w:val="NormalWeb"/>
        <w:shd w:val="clear" w:color="auto" w:fill="FFFFFF"/>
        <w:spacing w:line="360" w:lineRule="auto"/>
        <w:rPr>
          <w:rFonts w:ascii="Times New Roman" w:hAnsi="Times New Roman" w:cs="Times New Roman"/>
          <w:b/>
          <w:sz w:val="21"/>
          <w:szCs w:val="21"/>
        </w:rPr>
      </w:pPr>
      <w:r>
        <w:rPr>
          <w:rFonts w:ascii="Times New Roman" w:hAnsi="Times New Roman" w:cs="Times New Roman" w:hint="eastAsia"/>
          <w:b/>
          <w:sz w:val="21"/>
          <w:szCs w:val="21"/>
        </w:rPr>
        <w:t xml:space="preserve">Supplementary Fig. S1 </w:t>
      </w:r>
      <w:r>
        <w:rPr>
          <w:rFonts w:ascii="Times New Roman" w:hAnsi="Times New Roman" w:cs="Times New Roman" w:hint="eastAsia"/>
          <w:sz w:val="21"/>
          <w:szCs w:val="21"/>
        </w:rPr>
        <w:t>Detection of truncated and wild-type SFTSV-L protein expression in cells via IF</w:t>
      </w:r>
      <w:r w:rsidRPr="00885FAB">
        <w:rPr>
          <w:rFonts w:ascii="Times New Roman" w:hAnsi="Times New Roman" w:cs="Times New Roman" w:hint="eastAsia"/>
          <w:sz w:val="21"/>
          <w:szCs w:val="21"/>
        </w:rPr>
        <w:t>A.</w:t>
      </w:r>
      <w:r w:rsidRPr="00885FAB">
        <w:rPr>
          <w:rFonts w:ascii="Times New Roman" w:hAnsi="Times New Roman" w:cs="Times New Roman" w:hint="eastAsia"/>
          <w:b/>
          <w:sz w:val="21"/>
          <w:szCs w:val="21"/>
        </w:rPr>
        <w:t xml:space="preserve"> </w:t>
      </w:r>
      <w:r w:rsidRPr="00885FAB">
        <w:rPr>
          <w:rFonts w:ascii="Times New Roman" w:hAnsi="Times New Roman" w:cs="Times New Roman" w:hint="eastAsia"/>
          <w:sz w:val="21"/>
          <w:szCs w:val="21"/>
        </w:rPr>
        <w:t xml:space="preserve">The HEK 293T cells were fixed and incubated with anti-SFTSV-L polyclonal antibody and </w:t>
      </w:r>
      <w:r w:rsidRPr="00885FAB">
        <w:rPr>
          <w:rFonts w:ascii="Times New Roman" w:hAnsi="Times New Roman" w:cs="Times New Roman"/>
          <w:sz w:val="21"/>
          <w:szCs w:val="21"/>
        </w:rPr>
        <w:t>labeled</w:t>
      </w:r>
      <w:r w:rsidRPr="00885FAB">
        <w:rPr>
          <w:rFonts w:ascii="Times New Roman" w:hAnsi="Times New Roman" w:cs="Times New Roman" w:hint="eastAsia"/>
          <w:sz w:val="21"/>
          <w:szCs w:val="21"/>
        </w:rPr>
        <w:t xml:space="preserve"> with </w:t>
      </w:r>
      <w:r w:rsidRPr="00885FAB">
        <w:rPr>
          <w:rFonts w:ascii="Times New Roman" w:hAnsi="Times New Roman" w:cs="Times New Roman"/>
          <w:sz w:val="21"/>
          <w:szCs w:val="21"/>
        </w:rPr>
        <w:t>goat anti-rabbit Alexa-fluor488</w:t>
      </w:r>
      <w:r w:rsidRPr="00885FAB">
        <w:rPr>
          <w:rFonts w:ascii="Times New Roman" w:hAnsi="Times New Roman" w:cs="Times New Roman" w:hint="eastAsia"/>
          <w:sz w:val="21"/>
          <w:szCs w:val="21"/>
        </w:rPr>
        <w:t xml:space="preserve"> (green). Nuclei were stained with DAPI (blue). </w:t>
      </w:r>
      <w:r w:rsidRPr="00885FAB">
        <w:rPr>
          <w:rFonts w:ascii="Times New Roman" w:hAnsi="Times New Roman" w:cs="Times New Roman"/>
          <w:color w:val="000000" w:themeColor="text1"/>
          <w:sz w:val="22"/>
        </w:rPr>
        <w:t>Scale bar</w:t>
      </w:r>
      <w:r w:rsidRPr="00885FAB">
        <w:rPr>
          <w:rFonts w:ascii="Times New Roman" w:hAnsi="Times New Roman" w:cs="Times New Roman" w:hint="eastAsia"/>
          <w:color w:val="000000" w:themeColor="text1"/>
          <w:sz w:val="22"/>
        </w:rPr>
        <w:t xml:space="preserve"> </w:t>
      </w:r>
      <w:r w:rsidRPr="00885FAB">
        <w:rPr>
          <w:rFonts w:ascii="Times New Roman" w:hAnsi="Times New Roman" w:cs="Times New Roman"/>
          <w:color w:val="000000" w:themeColor="text1"/>
          <w:sz w:val="22"/>
        </w:rPr>
        <w:t>=</w:t>
      </w:r>
      <w:r w:rsidRPr="00885FAB">
        <w:rPr>
          <w:rFonts w:ascii="Times New Roman" w:hAnsi="Times New Roman" w:cs="Times New Roman" w:hint="eastAsia"/>
          <w:color w:val="000000" w:themeColor="text1"/>
          <w:sz w:val="22"/>
        </w:rPr>
        <w:t xml:space="preserve"> </w:t>
      </w:r>
      <w:r w:rsidRPr="00885FAB">
        <w:rPr>
          <w:rFonts w:ascii="Times New Roman" w:hAnsi="Times New Roman" w:cs="Times New Roman"/>
          <w:color w:val="000000" w:themeColor="text1"/>
          <w:sz w:val="22"/>
        </w:rPr>
        <w:t>150</w:t>
      </w:r>
      <w:r w:rsidRPr="00885FAB">
        <w:rPr>
          <w:rFonts w:ascii="Times New Roman" w:hAnsi="Times New Roman" w:cs="Times New Roman" w:hint="eastAsia"/>
          <w:color w:val="000000" w:themeColor="text1"/>
          <w:sz w:val="22"/>
        </w:rPr>
        <w:t xml:space="preserve"> </w:t>
      </w:r>
      <w:r w:rsidRPr="00885FAB">
        <w:rPr>
          <w:rFonts w:ascii="Times New Roman" w:hAnsi="Times New Roman" w:cs="Times New Roman"/>
          <w:color w:val="000000" w:themeColor="text1"/>
          <w:sz w:val="22"/>
        </w:rPr>
        <w:sym w:font="Symbol" w:char="F06D"/>
      </w:r>
      <w:r w:rsidRPr="00885FAB">
        <w:rPr>
          <w:rFonts w:ascii="Times New Roman" w:hAnsi="Times New Roman" w:cs="Times New Roman"/>
          <w:color w:val="000000" w:themeColor="text1"/>
          <w:sz w:val="22"/>
        </w:rPr>
        <w:t>m, 10</w:t>
      </w:r>
      <w:r w:rsidRPr="00885FAB">
        <w:rPr>
          <w:rFonts w:ascii="Times New Roman" w:hAnsi="Times New Roman" w:cs="Times New Roman" w:hint="eastAsia"/>
          <w:color w:val="000000" w:themeColor="text1"/>
          <w:sz w:val="22"/>
        </w:rPr>
        <w:t xml:space="preserve"> </w:t>
      </w:r>
      <w:r w:rsidRPr="00885FAB">
        <w:rPr>
          <w:rFonts w:ascii="Times New Roman" w:hAnsi="Times New Roman" w:cs="Times New Roman"/>
          <w:color w:val="000000" w:themeColor="text1"/>
          <w:sz w:val="22"/>
        </w:rPr>
        <w:t>×</w:t>
      </w:r>
      <w:r w:rsidRPr="00885FAB">
        <w:rPr>
          <w:rFonts w:ascii="Times New Roman" w:hAnsi="Times New Roman" w:cs="Times New Roman" w:hint="eastAsia"/>
          <w:color w:val="000000" w:themeColor="text1"/>
          <w:sz w:val="22"/>
        </w:rPr>
        <w:t xml:space="preserve"> </w:t>
      </w:r>
      <w:r w:rsidRPr="00885FAB">
        <w:rPr>
          <w:rFonts w:ascii="Times New Roman" w:hAnsi="Times New Roman" w:cs="Times New Roman"/>
          <w:color w:val="000000" w:themeColor="text1"/>
          <w:sz w:val="22"/>
        </w:rPr>
        <w:t>magnification.</w:t>
      </w:r>
    </w:p>
    <w:p w:rsidR="00ED01D1" w:rsidRDefault="00ED01D1" w:rsidP="00ED01D1">
      <w:pPr>
        <w:widowControl/>
        <w:jc w:val="left"/>
        <w:rPr>
          <w:rFonts w:ascii="Times New Roman" w:hAnsi="Times New Roman" w:cs="Times New Roman"/>
          <w:b/>
          <w:szCs w:val="21"/>
        </w:rPr>
      </w:pPr>
      <w:r>
        <w:rPr>
          <w:rFonts w:ascii="Times New Roman" w:hAnsi="Times New Roman" w:cs="Times New Roman"/>
          <w:b/>
          <w:szCs w:val="21"/>
        </w:rPr>
        <w:br w:type="page"/>
      </w:r>
    </w:p>
    <w:p w:rsidR="00ED01D1" w:rsidRDefault="00ED01D1" w:rsidP="00ED01D1">
      <w:pPr>
        <w:pStyle w:val="NormalWeb"/>
        <w:shd w:val="clear" w:color="auto" w:fill="FFFFFF"/>
        <w:spacing w:line="360" w:lineRule="auto"/>
        <w:jc w:val="center"/>
        <w:rPr>
          <w:rFonts w:ascii="Times New Roman" w:hAnsi="Times New Roman" w:cs="Times New Roman"/>
          <w:b/>
          <w:color w:val="000000"/>
          <w:sz w:val="21"/>
          <w:szCs w:val="21"/>
        </w:rPr>
      </w:pPr>
      <w:r>
        <w:rPr>
          <w:rFonts w:ascii="Times New Roman" w:hAnsi="Times New Roman" w:cs="Times New Roman" w:hint="eastAsia"/>
          <w:b/>
          <w:noProof/>
          <w:color w:val="000000"/>
          <w:sz w:val="21"/>
          <w:szCs w:val="21"/>
          <w:lang w:eastAsia="en-US"/>
        </w:rPr>
        <w:lastRenderedPageBreak/>
        <w:drawing>
          <wp:inline distT="0" distB="0" distL="0" distR="0" wp14:anchorId="5903DD5D" wp14:editId="04500CA2">
            <wp:extent cx="4617720" cy="1807464"/>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2 130mm.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7720" cy="1807464"/>
                    </a:xfrm>
                    <a:prstGeom prst="rect">
                      <a:avLst/>
                    </a:prstGeom>
                  </pic:spPr>
                </pic:pic>
              </a:graphicData>
            </a:graphic>
          </wp:inline>
        </w:drawing>
      </w:r>
    </w:p>
    <w:p w:rsidR="00ED01D1" w:rsidRDefault="00ED01D1" w:rsidP="00ED01D1">
      <w:pPr>
        <w:pStyle w:val="NormalWeb"/>
        <w:shd w:val="clear" w:color="auto" w:fill="FFFFFF"/>
        <w:spacing w:line="360" w:lineRule="auto"/>
        <w:rPr>
          <w:rFonts w:ascii="Times New Roman" w:hAnsi="Times New Roman" w:cs="Times New Roman"/>
          <w:sz w:val="21"/>
          <w:szCs w:val="21"/>
          <w:highlight w:val="magenta"/>
        </w:rPr>
      </w:pPr>
      <w:r>
        <w:rPr>
          <w:rFonts w:ascii="Times New Roman" w:hAnsi="Times New Roman" w:cs="Times New Roman" w:hint="eastAsia"/>
          <w:b/>
          <w:color w:val="000000"/>
          <w:sz w:val="21"/>
          <w:szCs w:val="21"/>
        </w:rPr>
        <w:t>Supplementary Fig. S2</w:t>
      </w:r>
      <w:r>
        <w:rPr>
          <w:rFonts w:ascii="Times New Roman" w:hAnsi="Times New Roman" w:cs="Times New Roman" w:hint="eastAsia"/>
          <w:color w:val="000000"/>
          <w:sz w:val="21"/>
          <w:szCs w:val="21"/>
        </w:rPr>
        <w:t xml:space="preserve"> Detection of mutated and wild-type SFTSV-L protein expression via IFA.</w:t>
      </w:r>
      <w:r>
        <w:rPr>
          <w:rFonts w:ascii="Times New Roman" w:hAnsi="Times New Roman" w:cs="Times New Roman" w:hint="eastAsia"/>
          <w:b/>
          <w:color w:val="000000"/>
          <w:sz w:val="21"/>
          <w:szCs w:val="21"/>
        </w:rPr>
        <w:t xml:space="preserve"> </w:t>
      </w:r>
      <w:r>
        <w:rPr>
          <w:rFonts w:ascii="Times New Roman" w:hAnsi="Times New Roman" w:cs="Times New Roman" w:hint="eastAsia"/>
          <w:sz w:val="21"/>
          <w:szCs w:val="21"/>
        </w:rPr>
        <w:t xml:space="preserve">The HEK 293T cells were </w:t>
      </w:r>
      <w:r w:rsidRPr="00885FAB">
        <w:rPr>
          <w:rFonts w:ascii="Times New Roman" w:hAnsi="Times New Roman" w:cs="Times New Roman" w:hint="eastAsia"/>
          <w:sz w:val="21"/>
          <w:szCs w:val="21"/>
        </w:rPr>
        <w:t xml:space="preserve">fixed and incubated with anti-SFTSV-L polyclonal antibody and </w:t>
      </w:r>
      <w:r w:rsidRPr="00885FAB">
        <w:rPr>
          <w:rFonts w:ascii="Times New Roman" w:hAnsi="Times New Roman" w:cs="Times New Roman"/>
          <w:sz w:val="21"/>
          <w:szCs w:val="21"/>
        </w:rPr>
        <w:t>labeled</w:t>
      </w:r>
      <w:r w:rsidRPr="00885FAB">
        <w:rPr>
          <w:rFonts w:ascii="Times New Roman" w:hAnsi="Times New Roman" w:cs="Times New Roman" w:hint="eastAsia"/>
          <w:sz w:val="21"/>
          <w:szCs w:val="21"/>
        </w:rPr>
        <w:t xml:space="preserve"> with </w:t>
      </w:r>
      <w:r w:rsidRPr="00885FAB">
        <w:rPr>
          <w:rFonts w:ascii="Times New Roman" w:hAnsi="Times New Roman" w:cs="Times New Roman"/>
          <w:sz w:val="21"/>
          <w:szCs w:val="21"/>
        </w:rPr>
        <w:t>goat anti-rabbit Alexa-fluor555</w:t>
      </w:r>
      <w:r w:rsidRPr="00885FAB">
        <w:rPr>
          <w:rFonts w:ascii="Times New Roman" w:hAnsi="Times New Roman" w:cs="Times New Roman" w:hint="eastAsia"/>
          <w:sz w:val="21"/>
          <w:szCs w:val="21"/>
        </w:rPr>
        <w:t xml:space="preserve"> (red). Nuclei were stained with DAPI (blue). </w:t>
      </w:r>
      <w:r w:rsidRPr="00885FAB">
        <w:rPr>
          <w:rFonts w:ascii="Times New Roman" w:hAnsi="Times New Roman" w:cs="Times New Roman"/>
          <w:color w:val="000000" w:themeColor="text1"/>
          <w:sz w:val="22"/>
        </w:rPr>
        <w:t>Scale bar</w:t>
      </w:r>
      <w:r w:rsidRPr="00885FAB">
        <w:rPr>
          <w:rFonts w:ascii="Times New Roman" w:hAnsi="Times New Roman" w:cs="Times New Roman" w:hint="eastAsia"/>
          <w:color w:val="000000" w:themeColor="text1"/>
          <w:sz w:val="22"/>
        </w:rPr>
        <w:t xml:space="preserve"> </w:t>
      </w:r>
      <w:r w:rsidRPr="00885FAB">
        <w:rPr>
          <w:rFonts w:ascii="Times New Roman" w:hAnsi="Times New Roman" w:cs="Times New Roman"/>
          <w:color w:val="000000" w:themeColor="text1"/>
          <w:sz w:val="22"/>
        </w:rPr>
        <w:t>=</w:t>
      </w:r>
      <w:r w:rsidRPr="00885FAB">
        <w:rPr>
          <w:rFonts w:ascii="Times New Roman" w:hAnsi="Times New Roman" w:cs="Times New Roman" w:hint="eastAsia"/>
          <w:color w:val="000000" w:themeColor="text1"/>
          <w:sz w:val="22"/>
        </w:rPr>
        <w:t xml:space="preserve"> </w:t>
      </w:r>
      <w:r w:rsidRPr="00885FAB">
        <w:rPr>
          <w:rFonts w:ascii="Times New Roman" w:hAnsi="Times New Roman" w:cs="Times New Roman"/>
          <w:color w:val="000000" w:themeColor="text1"/>
          <w:sz w:val="22"/>
        </w:rPr>
        <w:t>150</w:t>
      </w:r>
      <w:r w:rsidRPr="00885FAB">
        <w:rPr>
          <w:rFonts w:ascii="Times New Roman" w:hAnsi="Times New Roman" w:cs="Times New Roman" w:hint="eastAsia"/>
          <w:color w:val="000000" w:themeColor="text1"/>
          <w:sz w:val="22"/>
        </w:rPr>
        <w:t xml:space="preserve"> </w:t>
      </w:r>
      <w:r w:rsidRPr="00885FAB">
        <w:rPr>
          <w:rFonts w:ascii="Times New Roman" w:hAnsi="Times New Roman" w:cs="Times New Roman"/>
          <w:color w:val="000000" w:themeColor="text1"/>
          <w:sz w:val="22"/>
        </w:rPr>
        <w:sym w:font="Symbol" w:char="F06D"/>
      </w:r>
      <w:r w:rsidRPr="00885FAB">
        <w:rPr>
          <w:rFonts w:ascii="Times New Roman" w:hAnsi="Times New Roman" w:cs="Times New Roman"/>
          <w:color w:val="000000" w:themeColor="text1"/>
          <w:sz w:val="22"/>
        </w:rPr>
        <w:t>m, 10</w:t>
      </w:r>
      <w:r w:rsidRPr="00885FAB">
        <w:rPr>
          <w:rFonts w:ascii="Times New Roman" w:hAnsi="Times New Roman" w:cs="Times New Roman" w:hint="eastAsia"/>
          <w:color w:val="000000" w:themeColor="text1"/>
          <w:sz w:val="22"/>
        </w:rPr>
        <w:t xml:space="preserve"> </w:t>
      </w:r>
      <w:r w:rsidRPr="00885FAB">
        <w:rPr>
          <w:rFonts w:ascii="Times New Roman" w:hAnsi="Times New Roman" w:cs="Times New Roman"/>
          <w:color w:val="000000" w:themeColor="text1"/>
          <w:sz w:val="22"/>
        </w:rPr>
        <w:t>×</w:t>
      </w:r>
      <w:r w:rsidRPr="00885FAB">
        <w:rPr>
          <w:rFonts w:ascii="Times New Roman" w:hAnsi="Times New Roman" w:cs="Times New Roman" w:hint="eastAsia"/>
          <w:color w:val="000000" w:themeColor="text1"/>
          <w:sz w:val="22"/>
        </w:rPr>
        <w:t xml:space="preserve"> </w:t>
      </w:r>
      <w:r w:rsidRPr="00885FAB">
        <w:rPr>
          <w:rFonts w:ascii="Times New Roman" w:hAnsi="Times New Roman" w:cs="Times New Roman"/>
          <w:color w:val="000000" w:themeColor="text1"/>
          <w:sz w:val="22"/>
        </w:rPr>
        <w:t>magnification.</w:t>
      </w:r>
    </w:p>
    <w:p w:rsidR="00ED01D1" w:rsidRDefault="00ED01D1" w:rsidP="00ED01D1">
      <w:pPr>
        <w:widowControl/>
        <w:jc w:val="left"/>
        <w:rPr>
          <w:rFonts w:ascii="Times New Roman" w:hAnsi="Times New Roman"/>
          <w:b/>
          <w:color w:val="000000"/>
          <w:szCs w:val="21"/>
        </w:rPr>
      </w:pPr>
      <w:r>
        <w:rPr>
          <w:rFonts w:ascii="Times New Roman" w:hAnsi="Times New Roman"/>
          <w:b/>
          <w:color w:val="000000"/>
          <w:szCs w:val="21"/>
        </w:rPr>
        <w:br w:type="page"/>
      </w:r>
    </w:p>
    <w:p w:rsidR="00ED01D1" w:rsidRDefault="00ED01D1" w:rsidP="00ED01D1">
      <w:pPr>
        <w:autoSpaceDE w:val="0"/>
        <w:autoSpaceDN w:val="0"/>
        <w:adjustRightInd w:val="0"/>
        <w:spacing w:line="360" w:lineRule="auto"/>
        <w:jc w:val="center"/>
        <w:rPr>
          <w:rFonts w:ascii="Times New Roman" w:hAnsi="Times New Roman" w:cs="Times New Roman"/>
          <w:b/>
          <w:szCs w:val="21"/>
        </w:rPr>
      </w:pPr>
      <w:r>
        <w:rPr>
          <w:rFonts w:ascii="Times New Roman" w:hAnsi="Times New Roman" w:cs="Times New Roman"/>
          <w:b/>
          <w:noProof/>
          <w:szCs w:val="21"/>
          <w:lang w:eastAsia="en-US"/>
        </w:rPr>
        <w:lastRenderedPageBreak/>
        <w:drawing>
          <wp:inline distT="0" distB="0" distL="0" distR="0" wp14:anchorId="0FFD51C2" wp14:editId="04363534">
            <wp:extent cx="4680000" cy="657573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6575732"/>
                    </a:xfrm>
                    <a:prstGeom prst="rect">
                      <a:avLst/>
                    </a:prstGeom>
                    <a:noFill/>
                  </pic:spPr>
                </pic:pic>
              </a:graphicData>
            </a:graphic>
          </wp:inline>
        </w:drawing>
      </w:r>
      <w:r>
        <w:rPr>
          <w:rFonts w:ascii="Times New Roman" w:hAnsi="Times New Roman" w:cs="Times New Roman"/>
          <w:b/>
          <w:noProof/>
          <w:szCs w:val="21"/>
          <w:lang w:eastAsia="en-US"/>
        </w:rPr>
        <w:lastRenderedPageBreak/>
        <w:drawing>
          <wp:inline distT="0" distB="0" distL="0" distR="0" wp14:anchorId="15AEC9DC" wp14:editId="6D82B74A">
            <wp:extent cx="4680000" cy="6364617"/>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6364617"/>
                    </a:xfrm>
                    <a:prstGeom prst="rect">
                      <a:avLst/>
                    </a:prstGeom>
                    <a:noFill/>
                  </pic:spPr>
                </pic:pic>
              </a:graphicData>
            </a:graphic>
          </wp:inline>
        </w:drawing>
      </w:r>
      <w:r>
        <w:rPr>
          <w:rFonts w:ascii="Times New Roman" w:hAnsi="Times New Roman" w:cs="Times New Roman"/>
          <w:b/>
          <w:noProof/>
          <w:szCs w:val="21"/>
          <w:lang w:eastAsia="en-US"/>
        </w:rPr>
        <w:lastRenderedPageBreak/>
        <w:drawing>
          <wp:inline distT="0" distB="0" distL="0" distR="0" wp14:anchorId="3D9656E3" wp14:editId="4B902239">
            <wp:extent cx="4680000" cy="6408584"/>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6408584"/>
                    </a:xfrm>
                    <a:prstGeom prst="rect">
                      <a:avLst/>
                    </a:prstGeom>
                    <a:noFill/>
                  </pic:spPr>
                </pic:pic>
              </a:graphicData>
            </a:graphic>
          </wp:inline>
        </w:drawing>
      </w:r>
    </w:p>
    <w:p w:rsidR="00BF5BE5" w:rsidRPr="00ED01D1" w:rsidRDefault="00ED01D1" w:rsidP="00ED01D1">
      <w:pPr>
        <w:autoSpaceDE w:val="0"/>
        <w:autoSpaceDN w:val="0"/>
        <w:adjustRightInd w:val="0"/>
        <w:spacing w:line="360" w:lineRule="auto"/>
        <w:jc w:val="left"/>
        <w:rPr>
          <w:rFonts w:ascii="URWPalladioL-Roma" w:hAnsi="URWPalladioL-Roma" w:cs="URWPalladioL-Roma"/>
          <w:kern w:val="0"/>
          <w:szCs w:val="21"/>
        </w:rPr>
      </w:pPr>
      <w:r>
        <w:rPr>
          <w:rFonts w:ascii="Times New Roman" w:hAnsi="Times New Roman" w:cs="Times New Roman" w:hint="eastAsia"/>
          <w:b/>
          <w:szCs w:val="21"/>
        </w:rPr>
        <w:t>Supplementa</w:t>
      </w:r>
      <w:r w:rsidRPr="00885FAB">
        <w:rPr>
          <w:rFonts w:ascii="Times New Roman" w:hAnsi="Times New Roman" w:cs="Times New Roman" w:hint="eastAsia"/>
          <w:b/>
          <w:szCs w:val="21"/>
        </w:rPr>
        <w:t xml:space="preserve">ry </w:t>
      </w:r>
      <w:r w:rsidRPr="00885FAB">
        <w:rPr>
          <w:rFonts w:ascii="Times New Roman" w:hAnsi="Times New Roman" w:hint="eastAsia"/>
          <w:b/>
          <w:color w:val="000000"/>
          <w:szCs w:val="21"/>
        </w:rPr>
        <w:t>Fig. S3</w:t>
      </w:r>
      <w:r w:rsidRPr="00885FAB">
        <w:rPr>
          <w:rFonts w:ascii="Times New Roman" w:hAnsi="Times New Roman"/>
          <w:b/>
          <w:color w:val="000000"/>
          <w:kern w:val="0"/>
          <w:szCs w:val="21"/>
        </w:rPr>
        <w:t xml:space="preserve"> </w:t>
      </w:r>
      <w:r w:rsidRPr="00885FAB">
        <w:rPr>
          <w:rFonts w:ascii="Times New Roman" w:hAnsi="Times New Roman"/>
          <w:color w:val="000000"/>
          <w:kern w:val="0"/>
          <w:szCs w:val="21"/>
        </w:rPr>
        <w:t xml:space="preserve">Amino acid sequences </w:t>
      </w:r>
      <w:r w:rsidRPr="00885FAB">
        <w:rPr>
          <w:rFonts w:ascii="Times New Roman" w:hAnsi="Times New Roman" w:hint="eastAsia"/>
          <w:color w:val="000000"/>
          <w:kern w:val="0"/>
          <w:szCs w:val="21"/>
        </w:rPr>
        <w:t>alignment</w:t>
      </w:r>
      <w:r w:rsidRPr="00885FAB">
        <w:rPr>
          <w:rFonts w:ascii="Times New Roman" w:hAnsi="Times New Roman"/>
          <w:color w:val="000000"/>
          <w:kern w:val="0"/>
          <w:szCs w:val="21"/>
        </w:rPr>
        <w:t xml:space="preserve"> of the L protein </w:t>
      </w:r>
      <w:r w:rsidRPr="00885FAB">
        <w:rPr>
          <w:rFonts w:ascii="Times New Roman" w:hAnsi="Times New Roman" w:hint="eastAsia"/>
          <w:color w:val="000000"/>
          <w:kern w:val="0"/>
          <w:szCs w:val="21"/>
        </w:rPr>
        <w:t xml:space="preserve">among </w:t>
      </w:r>
      <w:r w:rsidRPr="00885FAB">
        <w:rPr>
          <w:rFonts w:ascii="Times New Roman" w:hAnsi="Times New Roman"/>
          <w:color w:val="000000"/>
          <w:kern w:val="0"/>
          <w:szCs w:val="21"/>
        </w:rPr>
        <w:t xml:space="preserve">SFTSV and </w:t>
      </w:r>
      <w:r w:rsidRPr="00885FAB">
        <w:rPr>
          <w:rFonts w:ascii="Times New Roman" w:hAnsi="Times New Roman" w:hint="eastAsia"/>
          <w:color w:val="000000"/>
          <w:kern w:val="0"/>
          <w:szCs w:val="21"/>
        </w:rPr>
        <w:t>other closely-related virus.</w:t>
      </w:r>
      <w:r w:rsidRPr="00885FAB">
        <w:rPr>
          <w:rFonts w:ascii="Times New Roman" w:hAnsi="Times New Roman" w:hint="eastAsia"/>
          <w:b/>
          <w:color w:val="000000"/>
          <w:kern w:val="0"/>
          <w:szCs w:val="21"/>
        </w:rPr>
        <w:t xml:space="preserve"> </w:t>
      </w:r>
      <w:r w:rsidRPr="00885FAB">
        <w:rPr>
          <w:rFonts w:ascii="Times New Roman" w:hAnsi="Times New Roman" w:hint="eastAsia"/>
          <w:bCs/>
          <w:color w:val="000000"/>
          <w:kern w:val="0"/>
          <w:szCs w:val="21"/>
        </w:rPr>
        <w:t>The color depth correspond</w:t>
      </w:r>
      <w:r>
        <w:rPr>
          <w:rFonts w:ascii="Times New Roman" w:hAnsi="Times New Roman" w:hint="eastAsia"/>
          <w:bCs/>
          <w:color w:val="000000"/>
          <w:kern w:val="0"/>
          <w:szCs w:val="21"/>
        </w:rPr>
        <w:t>s</w:t>
      </w:r>
      <w:r w:rsidRPr="00885FAB">
        <w:rPr>
          <w:rFonts w:ascii="Times New Roman" w:hAnsi="Times New Roman" w:hint="eastAsia"/>
          <w:bCs/>
          <w:color w:val="000000"/>
          <w:kern w:val="0"/>
          <w:szCs w:val="21"/>
        </w:rPr>
        <w:t xml:space="preserve"> to the sequence identities as the darker the color, the higher the identities. </w:t>
      </w:r>
      <w:r w:rsidRPr="00885FAB">
        <w:rPr>
          <w:rFonts w:ascii="Times New Roman" w:hAnsi="Times New Roman" w:hint="eastAsia"/>
          <w:szCs w:val="21"/>
        </w:rPr>
        <w:t>Nine</w:t>
      </w:r>
      <w:r w:rsidRPr="00885FAB">
        <w:rPr>
          <w:rFonts w:ascii="Times New Roman" w:hAnsi="Times New Roman"/>
          <w:szCs w:val="21"/>
        </w:rPr>
        <w:t xml:space="preserve"> of the twelve sites</w:t>
      </w:r>
      <w:r w:rsidRPr="00885FAB">
        <w:rPr>
          <w:rFonts w:ascii="Times New Roman" w:hAnsi="Times New Roman" w:hint="eastAsia"/>
          <w:szCs w:val="21"/>
        </w:rPr>
        <w:t xml:space="preserve"> which showed significant</w:t>
      </w:r>
      <w:r w:rsidRPr="00885FAB">
        <w:rPr>
          <w:rFonts w:ascii="Times New Roman" w:hAnsi="Times New Roman"/>
          <w:szCs w:val="21"/>
        </w:rPr>
        <w:t xml:space="preserve"> influence</w:t>
      </w:r>
      <w:r w:rsidRPr="00885FAB">
        <w:rPr>
          <w:rFonts w:ascii="Times New Roman" w:hAnsi="Times New Roman" w:hint="eastAsia"/>
          <w:szCs w:val="21"/>
        </w:rPr>
        <w:t xml:space="preserve"> on</w:t>
      </w:r>
      <w:r w:rsidRPr="00885FAB">
        <w:rPr>
          <w:rFonts w:ascii="Times New Roman" w:hAnsi="Times New Roman"/>
          <w:szCs w:val="21"/>
        </w:rPr>
        <w:t xml:space="preserve"> the L protein</w:t>
      </w:r>
      <w:r w:rsidRPr="00885FAB">
        <w:rPr>
          <w:rFonts w:ascii="Times New Roman" w:hAnsi="Times New Roman" w:hint="eastAsia"/>
          <w:szCs w:val="21"/>
        </w:rPr>
        <w:t xml:space="preserve"> </w:t>
      </w:r>
      <w:r w:rsidRPr="00885FAB">
        <w:rPr>
          <w:rFonts w:ascii="Times New Roman" w:hAnsi="Times New Roman"/>
          <w:szCs w:val="21"/>
        </w:rPr>
        <w:t>activity</w:t>
      </w:r>
      <w:r w:rsidRPr="00885FAB">
        <w:rPr>
          <w:rFonts w:ascii="Times New Roman" w:hAnsi="Times New Roman" w:hint="eastAsia"/>
          <w:szCs w:val="21"/>
        </w:rPr>
        <w:t xml:space="preserve"> were </w:t>
      </w:r>
      <w:r w:rsidRPr="00885FAB">
        <w:rPr>
          <w:rFonts w:ascii="Times New Roman" w:hAnsi="Times New Roman"/>
          <w:szCs w:val="21"/>
        </w:rPr>
        <w:t xml:space="preserve">indicated by the </w:t>
      </w:r>
      <w:r w:rsidRPr="00885FAB">
        <w:rPr>
          <w:rFonts w:ascii="Times New Roman" w:hAnsi="Times New Roman" w:hint="eastAsia"/>
          <w:szCs w:val="21"/>
        </w:rPr>
        <w:t>red triangl</w:t>
      </w:r>
      <w:r>
        <w:rPr>
          <w:rFonts w:ascii="Times New Roman" w:hAnsi="Times New Roman" w:hint="eastAsia"/>
          <w:szCs w:val="21"/>
        </w:rPr>
        <w:t xml:space="preserve">e with position number. SFTSV, Severe fever with thrombocytopenia </w:t>
      </w:r>
      <w:r>
        <w:rPr>
          <w:rFonts w:ascii="Times New Roman" w:hAnsi="Times New Roman"/>
          <w:szCs w:val="21"/>
        </w:rPr>
        <w:t>syndrome</w:t>
      </w:r>
      <w:r>
        <w:rPr>
          <w:rFonts w:ascii="Times New Roman" w:hAnsi="Times New Roman" w:hint="eastAsia"/>
          <w:szCs w:val="21"/>
        </w:rPr>
        <w:t xml:space="preserve"> virus; MLV, </w:t>
      </w:r>
      <w:r>
        <w:rPr>
          <w:rFonts w:ascii="Times New Roman" w:hAnsi="Times New Roman"/>
          <w:szCs w:val="21"/>
        </w:rPr>
        <w:t>Malsoor virus</w:t>
      </w:r>
      <w:r>
        <w:rPr>
          <w:rFonts w:ascii="Times New Roman" w:hAnsi="Times New Roman" w:hint="eastAsia"/>
          <w:szCs w:val="21"/>
        </w:rPr>
        <w:t xml:space="preserve">; HTIV, </w:t>
      </w:r>
      <w:r>
        <w:rPr>
          <w:rFonts w:ascii="Times New Roman" w:hAnsi="Times New Roman"/>
          <w:szCs w:val="21"/>
        </w:rPr>
        <w:t>Hunter Island virus</w:t>
      </w:r>
      <w:r>
        <w:rPr>
          <w:rFonts w:ascii="Times New Roman" w:hAnsi="Times New Roman" w:hint="eastAsia"/>
          <w:szCs w:val="21"/>
        </w:rPr>
        <w:t xml:space="preserve">; HRTV, </w:t>
      </w:r>
      <w:r>
        <w:rPr>
          <w:rFonts w:ascii="Times New Roman" w:hAnsi="Times New Roman"/>
          <w:szCs w:val="21"/>
        </w:rPr>
        <w:t>Heartland virus</w:t>
      </w:r>
      <w:r>
        <w:rPr>
          <w:rFonts w:ascii="Times New Roman" w:hAnsi="Times New Roman" w:hint="eastAsia"/>
          <w:szCs w:val="21"/>
        </w:rPr>
        <w:t xml:space="preserve">; GTV, </w:t>
      </w:r>
      <w:r>
        <w:rPr>
          <w:rFonts w:ascii="Times New Roman" w:hAnsi="Times New Roman"/>
          <w:szCs w:val="21"/>
        </w:rPr>
        <w:t>Guertu virus</w:t>
      </w:r>
      <w:r>
        <w:rPr>
          <w:rFonts w:ascii="Times New Roman" w:hAnsi="Times New Roman" w:hint="eastAsia"/>
          <w:szCs w:val="21"/>
        </w:rPr>
        <w:t>.</w:t>
      </w:r>
    </w:p>
    <w:sectPr w:rsidR="00BF5BE5" w:rsidRPr="00ED01D1" w:rsidSect="00634F9B">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956" w:rsidRDefault="00545956" w:rsidP="000761B5">
      <w:r>
        <w:separator/>
      </w:r>
    </w:p>
  </w:endnote>
  <w:endnote w:type="continuationSeparator" w:id="0">
    <w:p w:rsidR="00545956" w:rsidRDefault="00545956" w:rsidP="00076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URWPalladioL-Roma">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61D" w:rsidRPr="00155BCA" w:rsidRDefault="006C161D">
    <w:pPr>
      <w:pStyle w:val="Footer"/>
      <w:rPr>
        <w:rFonts w:ascii="Times New Roman" w:hAnsi="Times New Roman" w:cs="Times New Roman"/>
      </w:rPr>
    </w:pPr>
    <w:r w:rsidRPr="00155BCA">
      <w:rPr>
        <w:rFonts w:ascii="Times New Roman" w:hAnsi="Times New Roman" w:cs="Times New Roman"/>
      </w:rPr>
      <w:ptab w:relativeTo="margin" w:alignment="center" w:leader="none"/>
    </w:r>
    <w:r w:rsidRPr="00155BCA">
      <w:rPr>
        <w:rFonts w:ascii="Times New Roman" w:hAnsi="Times New Roman" w:cs="Times New Roman"/>
      </w:rPr>
      <w:ptab w:relativeTo="margin" w:alignment="right" w:leader="none"/>
    </w:r>
    <w:r w:rsidRPr="00155BCA">
      <w:rPr>
        <w:rFonts w:ascii="Times New Roman" w:hAnsi="Times New Roman" w:cs="Times New Roman"/>
      </w:rPr>
      <w:t>www.virosin.org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956" w:rsidRDefault="00545956" w:rsidP="000761B5">
      <w:r>
        <w:separator/>
      </w:r>
    </w:p>
  </w:footnote>
  <w:footnote w:type="continuationSeparator" w:id="0">
    <w:p w:rsidR="00545956" w:rsidRDefault="00545956" w:rsidP="00076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645623785"/>
      <w:docPartObj>
        <w:docPartGallery w:val="Page Numbers (Top of Page)"/>
        <w:docPartUnique/>
      </w:docPartObj>
    </w:sdtPr>
    <w:sdtEndPr/>
    <w:sdtContent>
      <w:p w:rsidR="00B83CC5" w:rsidRPr="00155BCA" w:rsidRDefault="00B83CC5">
        <w:pPr>
          <w:pStyle w:val="Header"/>
          <w:jc w:val="right"/>
          <w:rPr>
            <w:rFonts w:ascii="Times New Roman" w:hAnsi="Times New Roman" w:cs="Times New Roman"/>
          </w:rPr>
        </w:pPr>
        <w:r w:rsidRPr="00155BCA">
          <w:rPr>
            <w:rFonts w:ascii="Times New Roman" w:hAnsi="Times New Roman" w:cs="Times New Roman"/>
            <w:lang w:val="zh-CN"/>
          </w:rPr>
          <w:t xml:space="preserve"> </w:t>
        </w:r>
        <w:r w:rsidRPr="00155BCA">
          <w:rPr>
            <w:rFonts w:ascii="Times New Roman" w:hAnsi="Times New Roman" w:cs="Times New Roman"/>
            <w:b/>
            <w:bCs/>
            <w:sz w:val="24"/>
            <w:szCs w:val="24"/>
          </w:rPr>
          <w:fldChar w:fldCharType="begin"/>
        </w:r>
        <w:r w:rsidRPr="00155BCA">
          <w:rPr>
            <w:rFonts w:ascii="Times New Roman" w:hAnsi="Times New Roman" w:cs="Times New Roman"/>
            <w:b/>
            <w:bCs/>
          </w:rPr>
          <w:instrText>PAGE</w:instrText>
        </w:r>
        <w:r w:rsidRPr="00155BCA">
          <w:rPr>
            <w:rFonts w:ascii="Times New Roman" w:hAnsi="Times New Roman" w:cs="Times New Roman"/>
            <w:b/>
            <w:bCs/>
            <w:sz w:val="24"/>
            <w:szCs w:val="24"/>
          </w:rPr>
          <w:fldChar w:fldCharType="separate"/>
        </w:r>
        <w:r w:rsidR="006D650C">
          <w:rPr>
            <w:rFonts w:ascii="Times New Roman" w:hAnsi="Times New Roman" w:cs="Times New Roman"/>
            <w:b/>
            <w:bCs/>
            <w:noProof/>
          </w:rPr>
          <w:t>1</w:t>
        </w:r>
        <w:r w:rsidRPr="00155BCA">
          <w:rPr>
            <w:rFonts w:ascii="Times New Roman" w:hAnsi="Times New Roman" w:cs="Times New Roman"/>
            <w:b/>
            <w:bCs/>
            <w:sz w:val="24"/>
            <w:szCs w:val="24"/>
          </w:rPr>
          <w:fldChar w:fldCharType="end"/>
        </w:r>
        <w:r w:rsidRPr="00155BCA">
          <w:rPr>
            <w:rFonts w:ascii="Times New Roman" w:hAnsi="Times New Roman" w:cs="Times New Roman"/>
            <w:lang w:val="zh-CN"/>
          </w:rPr>
          <w:t xml:space="preserve"> / </w:t>
        </w:r>
        <w:r w:rsidRPr="00155BCA">
          <w:rPr>
            <w:rFonts w:ascii="Times New Roman" w:hAnsi="Times New Roman" w:cs="Times New Roman"/>
            <w:b/>
            <w:bCs/>
            <w:sz w:val="24"/>
            <w:szCs w:val="24"/>
          </w:rPr>
          <w:fldChar w:fldCharType="begin"/>
        </w:r>
        <w:r w:rsidRPr="00155BCA">
          <w:rPr>
            <w:rFonts w:ascii="Times New Roman" w:hAnsi="Times New Roman" w:cs="Times New Roman"/>
            <w:b/>
            <w:bCs/>
          </w:rPr>
          <w:instrText>NUMPAGES</w:instrText>
        </w:r>
        <w:r w:rsidRPr="00155BCA">
          <w:rPr>
            <w:rFonts w:ascii="Times New Roman" w:hAnsi="Times New Roman" w:cs="Times New Roman"/>
            <w:b/>
            <w:bCs/>
            <w:sz w:val="24"/>
            <w:szCs w:val="24"/>
          </w:rPr>
          <w:fldChar w:fldCharType="separate"/>
        </w:r>
        <w:r w:rsidR="006D650C">
          <w:rPr>
            <w:rFonts w:ascii="Times New Roman" w:hAnsi="Times New Roman" w:cs="Times New Roman"/>
            <w:b/>
            <w:bCs/>
            <w:noProof/>
          </w:rPr>
          <w:t>9</w:t>
        </w:r>
        <w:r w:rsidRPr="00155BCA">
          <w:rPr>
            <w:rFonts w:ascii="Times New Roman" w:hAnsi="Times New Roman" w:cs="Times New Roman"/>
            <w:b/>
            <w:bCs/>
            <w:sz w:val="24"/>
            <w:szCs w:val="24"/>
          </w:rPr>
          <w:fldChar w:fldCharType="end"/>
        </w:r>
      </w:p>
    </w:sdtContent>
  </w:sdt>
  <w:p w:rsidR="006C161D" w:rsidRPr="00155BCA" w:rsidRDefault="006C161D" w:rsidP="000F7652">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03F49"/>
    <w:multiLevelType w:val="hybridMultilevel"/>
    <w:tmpl w:val="2660948C"/>
    <w:lvl w:ilvl="0" w:tplc="9384D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revisionView w:markup="0"/>
  <w:defaultTabStop w:val="720"/>
  <w:drawingGridHorizontalSpacing w:val="105"/>
  <w:drawingGridVerticalSpacing w:val="15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08F"/>
    <w:rsid w:val="000016CB"/>
    <w:rsid w:val="00004C8A"/>
    <w:rsid w:val="000315CF"/>
    <w:rsid w:val="00034E9D"/>
    <w:rsid w:val="00044E0A"/>
    <w:rsid w:val="00060E2A"/>
    <w:rsid w:val="00065E1A"/>
    <w:rsid w:val="000741BA"/>
    <w:rsid w:val="000761B5"/>
    <w:rsid w:val="00080D0D"/>
    <w:rsid w:val="000943EE"/>
    <w:rsid w:val="000C3778"/>
    <w:rsid w:val="000C76E7"/>
    <w:rsid w:val="000F2C45"/>
    <w:rsid w:val="000F7652"/>
    <w:rsid w:val="001124A5"/>
    <w:rsid w:val="00117EAF"/>
    <w:rsid w:val="001262A2"/>
    <w:rsid w:val="00133747"/>
    <w:rsid w:val="00134DEF"/>
    <w:rsid w:val="00155BCA"/>
    <w:rsid w:val="00161891"/>
    <w:rsid w:val="001F1430"/>
    <w:rsid w:val="001F602B"/>
    <w:rsid w:val="00220A80"/>
    <w:rsid w:val="002312FA"/>
    <w:rsid w:val="00231386"/>
    <w:rsid w:val="00234F89"/>
    <w:rsid w:val="00287717"/>
    <w:rsid w:val="002A7C91"/>
    <w:rsid w:val="002B1CF8"/>
    <w:rsid w:val="002C606F"/>
    <w:rsid w:val="002C7155"/>
    <w:rsid w:val="002F3259"/>
    <w:rsid w:val="00305A7D"/>
    <w:rsid w:val="0033661A"/>
    <w:rsid w:val="0033669D"/>
    <w:rsid w:val="003549E2"/>
    <w:rsid w:val="003640FA"/>
    <w:rsid w:val="00380160"/>
    <w:rsid w:val="00390CFB"/>
    <w:rsid w:val="003B4CD7"/>
    <w:rsid w:val="003B717A"/>
    <w:rsid w:val="003D275B"/>
    <w:rsid w:val="003E3A2D"/>
    <w:rsid w:val="003F4281"/>
    <w:rsid w:val="0040198D"/>
    <w:rsid w:val="00413E21"/>
    <w:rsid w:val="00416AE9"/>
    <w:rsid w:val="00435720"/>
    <w:rsid w:val="004474B2"/>
    <w:rsid w:val="004727A4"/>
    <w:rsid w:val="004922CD"/>
    <w:rsid w:val="0049234C"/>
    <w:rsid w:val="004950A7"/>
    <w:rsid w:val="004A0D41"/>
    <w:rsid w:val="004D1CBE"/>
    <w:rsid w:val="004E4015"/>
    <w:rsid w:val="004F0B26"/>
    <w:rsid w:val="00545956"/>
    <w:rsid w:val="00551E70"/>
    <w:rsid w:val="005535A8"/>
    <w:rsid w:val="00557BF9"/>
    <w:rsid w:val="00574E07"/>
    <w:rsid w:val="005867D3"/>
    <w:rsid w:val="005903A3"/>
    <w:rsid w:val="005B743B"/>
    <w:rsid w:val="005F6358"/>
    <w:rsid w:val="005F71D7"/>
    <w:rsid w:val="00621CC1"/>
    <w:rsid w:val="00634F9B"/>
    <w:rsid w:val="0063627C"/>
    <w:rsid w:val="00654C37"/>
    <w:rsid w:val="00666DF0"/>
    <w:rsid w:val="006802B5"/>
    <w:rsid w:val="00690419"/>
    <w:rsid w:val="006958AC"/>
    <w:rsid w:val="006A4E4F"/>
    <w:rsid w:val="006B388B"/>
    <w:rsid w:val="006C161D"/>
    <w:rsid w:val="006D40A3"/>
    <w:rsid w:val="006D650C"/>
    <w:rsid w:val="00706FB0"/>
    <w:rsid w:val="00713212"/>
    <w:rsid w:val="00724C5C"/>
    <w:rsid w:val="00742D73"/>
    <w:rsid w:val="0074608F"/>
    <w:rsid w:val="0079747E"/>
    <w:rsid w:val="007C04FE"/>
    <w:rsid w:val="007F37AB"/>
    <w:rsid w:val="00826951"/>
    <w:rsid w:val="008358B6"/>
    <w:rsid w:val="00846C15"/>
    <w:rsid w:val="008575EF"/>
    <w:rsid w:val="008A3C56"/>
    <w:rsid w:val="008B113E"/>
    <w:rsid w:val="008C11A2"/>
    <w:rsid w:val="008C4C89"/>
    <w:rsid w:val="008D24B4"/>
    <w:rsid w:val="00901183"/>
    <w:rsid w:val="00910C8E"/>
    <w:rsid w:val="00917D48"/>
    <w:rsid w:val="00920E36"/>
    <w:rsid w:val="00921D97"/>
    <w:rsid w:val="0092208C"/>
    <w:rsid w:val="00933F58"/>
    <w:rsid w:val="009579F2"/>
    <w:rsid w:val="00983022"/>
    <w:rsid w:val="009C0917"/>
    <w:rsid w:val="009C2CDE"/>
    <w:rsid w:val="009C365A"/>
    <w:rsid w:val="00A0200A"/>
    <w:rsid w:val="00A22772"/>
    <w:rsid w:val="00A23F74"/>
    <w:rsid w:val="00A24D57"/>
    <w:rsid w:val="00A46CDF"/>
    <w:rsid w:val="00A5110E"/>
    <w:rsid w:val="00AA4A06"/>
    <w:rsid w:val="00AB7513"/>
    <w:rsid w:val="00B0474C"/>
    <w:rsid w:val="00B104D8"/>
    <w:rsid w:val="00B5421C"/>
    <w:rsid w:val="00B65155"/>
    <w:rsid w:val="00B65A68"/>
    <w:rsid w:val="00B83CC5"/>
    <w:rsid w:val="00B92AE2"/>
    <w:rsid w:val="00B9682E"/>
    <w:rsid w:val="00BE753B"/>
    <w:rsid w:val="00BF5BE5"/>
    <w:rsid w:val="00C11B76"/>
    <w:rsid w:val="00C21DD2"/>
    <w:rsid w:val="00C55C78"/>
    <w:rsid w:val="00C64BA2"/>
    <w:rsid w:val="00C84788"/>
    <w:rsid w:val="00CD603D"/>
    <w:rsid w:val="00CE7341"/>
    <w:rsid w:val="00D16FC1"/>
    <w:rsid w:val="00D33D0C"/>
    <w:rsid w:val="00D50629"/>
    <w:rsid w:val="00DB774C"/>
    <w:rsid w:val="00DC1749"/>
    <w:rsid w:val="00DC5B1F"/>
    <w:rsid w:val="00DE3D48"/>
    <w:rsid w:val="00DE5AC2"/>
    <w:rsid w:val="00E01202"/>
    <w:rsid w:val="00E264F4"/>
    <w:rsid w:val="00E36CDD"/>
    <w:rsid w:val="00E44C38"/>
    <w:rsid w:val="00E55619"/>
    <w:rsid w:val="00E90386"/>
    <w:rsid w:val="00E92530"/>
    <w:rsid w:val="00EC4D24"/>
    <w:rsid w:val="00ED01D1"/>
    <w:rsid w:val="00ED398D"/>
    <w:rsid w:val="00EE0831"/>
    <w:rsid w:val="00F343DF"/>
    <w:rsid w:val="00F6501E"/>
    <w:rsid w:val="00F736AF"/>
    <w:rsid w:val="00F827CE"/>
    <w:rsid w:val="00F9726C"/>
    <w:rsid w:val="00FA3907"/>
    <w:rsid w:val="00FD3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8871C3F-4771-48D8-84C1-2E1609976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08F"/>
    <w:pPr>
      <w:widowControl w:val="0"/>
      <w:spacing w:after="0" w:line="240" w:lineRule="auto"/>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08F"/>
    <w:rPr>
      <w:rFonts w:ascii="SimSun" w:eastAsia="SimSun"/>
      <w:sz w:val="18"/>
      <w:szCs w:val="18"/>
    </w:rPr>
  </w:style>
  <w:style w:type="character" w:customStyle="1" w:styleId="BalloonTextChar">
    <w:name w:val="Balloon Text Char"/>
    <w:basedOn w:val="DefaultParagraphFont"/>
    <w:link w:val="BalloonText"/>
    <w:uiPriority w:val="99"/>
    <w:semiHidden/>
    <w:rsid w:val="0074608F"/>
    <w:rPr>
      <w:rFonts w:ascii="SimSun" w:eastAsia="SimSun"/>
      <w:kern w:val="2"/>
      <w:sz w:val="18"/>
      <w:szCs w:val="18"/>
    </w:rPr>
  </w:style>
  <w:style w:type="paragraph" w:styleId="Header">
    <w:name w:val="header"/>
    <w:basedOn w:val="Normal"/>
    <w:link w:val="HeaderChar"/>
    <w:uiPriority w:val="99"/>
    <w:unhideWhenUsed/>
    <w:rsid w:val="000761B5"/>
    <w:pPr>
      <w:tabs>
        <w:tab w:val="center" w:pos="4320"/>
        <w:tab w:val="right" w:pos="8640"/>
      </w:tabs>
    </w:pPr>
  </w:style>
  <w:style w:type="character" w:customStyle="1" w:styleId="HeaderChar">
    <w:name w:val="Header Char"/>
    <w:basedOn w:val="DefaultParagraphFont"/>
    <w:link w:val="Header"/>
    <w:uiPriority w:val="99"/>
    <w:rsid w:val="000761B5"/>
    <w:rPr>
      <w:kern w:val="2"/>
      <w:sz w:val="21"/>
    </w:rPr>
  </w:style>
  <w:style w:type="paragraph" w:styleId="Footer">
    <w:name w:val="footer"/>
    <w:basedOn w:val="Normal"/>
    <w:link w:val="FooterChar"/>
    <w:uiPriority w:val="99"/>
    <w:unhideWhenUsed/>
    <w:rsid w:val="000761B5"/>
    <w:pPr>
      <w:tabs>
        <w:tab w:val="center" w:pos="4320"/>
        <w:tab w:val="right" w:pos="8640"/>
      </w:tabs>
    </w:pPr>
  </w:style>
  <w:style w:type="character" w:customStyle="1" w:styleId="FooterChar">
    <w:name w:val="Footer Char"/>
    <w:basedOn w:val="DefaultParagraphFont"/>
    <w:link w:val="Footer"/>
    <w:uiPriority w:val="99"/>
    <w:rsid w:val="000761B5"/>
    <w:rPr>
      <w:kern w:val="2"/>
      <w:sz w:val="21"/>
    </w:rPr>
  </w:style>
  <w:style w:type="character" w:styleId="CommentReference">
    <w:name w:val="annotation reference"/>
    <w:basedOn w:val="DefaultParagraphFont"/>
    <w:unhideWhenUsed/>
    <w:qFormat/>
    <w:rsid w:val="00134DEF"/>
    <w:rPr>
      <w:sz w:val="16"/>
      <w:szCs w:val="16"/>
    </w:rPr>
  </w:style>
  <w:style w:type="table" w:styleId="TableGrid">
    <w:name w:val="Table Grid"/>
    <w:basedOn w:val="TableNormal"/>
    <w:uiPriority w:val="59"/>
    <w:qFormat/>
    <w:rsid w:val="00134DEF"/>
    <w:pPr>
      <w:spacing w:after="0" w:line="240" w:lineRule="auto"/>
    </w:pPr>
    <w:rPr>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E753B"/>
    <w:pPr>
      <w:spacing w:after="120"/>
    </w:pPr>
  </w:style>
  <w:style w:type="character" w:customStyle="1" w:styleId="BodyTextChar">
    <w:name w:val="Body Text Char"/>
    <w:basedOn w:val="DefaultParagraphFont"/>
    <w:link w:val="BodyText"/>
    <w:uiPriority w:val="99"/>
    <w:semiHidden/>
    <w:rsid w:val="00BE753B"/>
    <w:rPr>
      <w:kern w:val="2"/>
      <w:sz w:val="21"/>
    </w:rPr>
  </w:style>
  <w:style w:type="paragraph" w:styleId="BodyTextFirstIndent">
    <w:name w:val="Body Text First Indent"/>
    <w:basedOn w:val="Normal"/>
    <w:link w:val="BodyTextFirstIndentChar"/>
    <w:rsid w:val="00BE753B"/>
    <w:pPr>
      <w:ind w:firstLineChars="200" w:firstLine="498"/>
    </w:pPr>
    <w:rPr>
      <w:rFonts w:ascii="Times New Roman" w:eastAsia="SimSun" w:hAnsi="Times New Roman" w:cs="Times New Roman"/>
      <w:kern w:val="0"/>
      <w:sz w:val="24"/>
      <w:szCs w:val="20"/>
    </w:rPr>
  </w:style>
  <w:style w:type="character" w:customStyle="1" w:styleId="BodyTextFirstIndentChar">
    <w:name w:val="Body Text First Indent Char"/>
    <w:basedOn w:val="BodyTextChar"/>
    <w:link w:val="BodyTextFirstIndent"/>
    <w:rsid w:val="00BE753B"/>
    <w:rPr>
      <w:rFonts w:ascii="Times New Roman" w:eastAsia="SimSun" w:hAnsi="Times New Roman" w:cs="Times New Roman"/>
      <w:kern w:val="2"/>
      <w:sz w:val="24"/>
      <w:szCs w:val="20"/>
    </w:rPr>
  </w:style>
  <w:style w:type="paragraph" w:styleId="ListParagraph">
    <w:name w:val="List Paragraph"/>
    <w:basedOn w:val="Normal"/>
    <w:uiPriority w:val="34"/>
    <w:qFormat/>
    <w:rsid w:val="0049234C"/>
    <w:pPr>
      <w:ind w:firstLineChars="200" w:firstLine="420"/>
    </w:pPr>
  </w:style>
  <w:style w:type="paragraph" w:customStyle="1" w:styleId="EndNoteBibliography">
    <w:name w:val="EndNote Bibliography"/>
    <w:basedOn w:val="Normal"/>
    <w:link w:val="EndNoteBibliography0"/>
    <w:rsid w:val="000F7652"/>
    <w:pPr>
      <w:spacing w:line="480" w:lineRule="auto"/>
      <w:jc w:val="left"/>
    </w:pPr>
    <w:rPr>
      <w:rFonts w:ascii="Times New Roman" w:eastAsia="DengXian" w:hAnsi="Times New Roman" w:cs="Times New Roman"/>
      <w:noProof/>
      <w:sz w:val="22"/>
    </w:rPr>
  </w:style>
  <w:style w:type="character" w:customStyle="1" w:styleId="EndNoteBibliography0">
    <w:name w:val="EndNote Bibliography 字符"/>
    <w:link w:val="EndNoteBibliography"/>
    <w:rsid w:val="000F7652"/>
    <w:rPr>
      <w:rFonts w:ascii="Times New Roman" w:eastAsia="DengXian" w:hAnsi="Times New Roman" w:cs="Times New Roman"/>
      <w:noProof/>
      <w:kern w:val="2"/>
    </w:rPr>
  </w:style>
  <w:style w:type="paragraph" w:customStyle="1" w:styleId="Normal0">
    <w:name w:val="Normal_0"/>
    <w:rsid w:val="009579F2"/>
    <w:pPr>
      <w:spacing w:after="0" w:line="240" w:lineRule="auto"/>
      <w:jc w:val="both"/>
    </w:pPr>
    <w:rPr>
      <w:rFonts w:ascii="Times New Roman" w:eastAsia="SimSun" w:hAnsi="Times New Roman" w:cs="Times New Roman"/>
      <w:kern w:val="2"/>
      <w:sz w:val="21"/>
      <w:szCs w:val="21"/>
    </w:rPr>
  </w:style>
  <w:style w:type="character" w:styleId="Hyperlink">
    <w:name w:val="Hyperlink"/>
    <w:basedOn w:val="DefaultParagraphFont"/>
    <w:uiPriority w:val="99"/>
    <w:unhideWhenUsed/>
    <w:rsid w:val="00E92530"/>
    <w:rPr>
      <w:color w:val="0000FF" w:themeColor="hyperlink"/>
      <w:u w:val="single"/>
    </w:rPr>
  </w:style>
  <w:style w:type="character" w:styleId="LineNumber">
    <w:name w:val="line number"/>
    <w:basedOn w:val="DefaultParagraphFont"/>
    <w:uiPriority w:val="99"/>
    <w:semiHidden/>
    <w:unhideWhenUsed/>
    <w:rsid w:val="00B9682E"/>
  </w:style>
  <w:style w:type="paragraph" w:styleId="NormalWeb">
    <w:name w:val="Normal (Web)"/>
    <w:basedOn w:val="Normal"/>
    <w:link w:val="NormalWebChar"/>
    <w:uiPriority w:val="99"/>
    <w:unhideWhenUsed/>
    <w:qFormat/>
    <w:rsid w:val="000016CB"/>
    <w:pPr>
      <w:widowControl/>
      <w:spacing w:before="100" w:beforeAutospacing="1" w:after="100" w:afterAutospacing="1"/>
      <w:jc w:val="left"/>
    </w:pPr>
    <w:rPr>
      <w:rFonts w:ascii="SimSun" w:eastAsia="SimSun" w:hAnsi="SimSun" w:cs="SimSun"/>
      <w:kern w:val="0"/>
      <w:sz w:val="24"/>
      <w:szCs w:val="24"/>
    </w:rPr>
  </w:style>
  <w:style w:type="table" w:customStyle="1" w:styleId="PlainTable21">
    <w:name w:val="Plain Table 21"/>
    <w:basedOn w:val="TableNormal"/>
    <w:uiPriority w:val="42"/>
    <w:rsid w:val="00634F9B"/>
    <w:pPr>
      <w:spacing w:after="0" w:line="240" w:lineRule="auto"/>
    </w:pPr>
    <w:rPr>
      <w:kern w:val="2"/>
      <w:sz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WebChar">
    <w:name w:val="Normal (Web) Char"/>
    <w:link w:val="NormalWeb"/>
    <w:uiPriority w:val="99"/>
    <w:qFormat/>
    <w:rsid w:val="00ED01D1"/>
    <w:rPr>
      <w:rFonts w:ascii="SimSun" w:eastAsia="SimSun" w:hAnsi="SimSun" w:cs="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s://www.sciencedirect.com/topics/medicine-and-dentistry/sanger-sequencing"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1328</Words>
  <Characters>7570</Characters>
  <Application>Microsoft Office Word</Application>
  <DocSecurity>0</DocSecurity>
  <Lines>63</Lines>
  <Paragraphs>17</Paragraphs>
  <ScaleCrop>false</ScaleCrop>
  <Company>whiov</Company>
  <LinksUpToDate>false</LinksUpToDate>
  <CharactersWithSpaces>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Santhanam  V</cp:lastModifiedBy>
  <cp:revision>4</cp:revision>
  <cp:lastPrinted>2022-01-04T07:37:00Z</cp:lastPrinted>
  <dcterms:created xsi:type="dcterms:W3CDTF">2022-08-26T02:31:00Z</dcterms:created>
  <dcterms:modified xsi:type="dcterms:W3CDTF">2022-09-02T14:55:00Z</dcterms:modified>
</cp:coreProperties>
</file>