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4C" w:rsidRPr="00B9682E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bookmarkStart w:id="0" w:name="_GoBack"/>
      <w:bookmarkEnd w:id="0"/>
      <w:r w:rsidRPr="00B9682E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9682E">
        <w:rPr>
          <w:rFonts w:ascii="Times New Roman" w:hAnsi="Times New Roman" w:cs="Times New Roman"/>
          <w:b/>
          <w:w w:val="105"/>
          <w:sz w:val="30"/>
          <w:szCs w:val="30"/>
        </w:rPr>
        <w:t>irologica Sinica</w:t>
      </w:r>
    </w:p>
    <w:p w:rsidR="0074608F" w:rsidRPr="00B9682E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9682E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9682E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9682E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9682E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9682E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B9682E" w:rsidRDefault="00781189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781189">
        <w:rPr>
          <w:rFonts w:ascii="Times New Roman" w:hAnsi="Times New Roman" w:cs="Times New Roman"/>
          <w:b/>
          <w:bCs/>
          <w:sz w:val="30"/>
          <w:szCs w:val="30"/>
        </w:rPr>
        <w:t xml:space="preserve">Enhanced pathogenicity and transmissibility of H9N2 avian influenza virus in mammals by hemagglutinin mutations combined with PB2-627K </w:t>
      </w:r>
    </w:p>
    <w:p w:rsidR="0092208C" w:rsidRPr="00B9682E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B9682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B9682E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781189" w:rsidRDefault="00781189" w:rsidP="00781189">
      <w:pPr>
        <w:widowControl/>
        <w:jc w:val="left"/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</w:pPr>
      <w:r w:rsidRPr="00773504">
        <w:rPr>
          <w:rFonts w:ascii="Times New Roman" w:hAnsi="Times New Roman" w:cs="Times New Roman"/>
          <w:b/>
          <w:color w:val="000000" w:themeColor="text1"/>
          <w:szCs w:val="21"/>
        </w:rPr>
        <w:t>Kaituo Liu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a</w:t>
      </w:r>
      <w:r w:rsidRPr="00773504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 xml:space="preserve">, 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b</w:t>
      </w:r>
      <w:r w:rsidRPr="00773504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 xml:space="preserve">, 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c</w:t>
      </w:r>
      <w:r w:rsidRPr="00773504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 xml:space="preserve">, 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d</w:t>
      </w:r>
      <w:r w:rsidRPr="00773504">
        <w:rPr>
          <w:rFonts w:ascii="Times New Roman" w:hAnsi="Times New Roman" w:cs="Times New Roman"/>
          <w:b/>
          <w:color w:val="000000" w:themeColor="text1"/>
          <w:szCs w:val="21"/>
        </w:rPr>
        <w:t>, Yaqian Guo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b</w:t>
      </w:r>
      <w:r w:rsidRPr="00773504">
        <w:rPr>
          <w:rFonts w:ascii="Times New Roman" w:hAnsi="Times New Roman" w:cs="Times New Roman"/>
          <w:b/>
          <w:color w:val="000000" w:themeColor="text1"/>
          <w:szCs w:val="21"/>
        </w:rPr>
        <w:t>, Huafen Zheng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b</w:t>
      </w:r>
      <w:r w:rsidRPr="00773504">
        <w:rPr>
          <w:rFonts w:ascii="Times New Roman" w:hAnsi="Times New Roman" w:cs="Times New Roman"/>
          <w:b/>
          <w:color w:val="000000" w:themeColor="text1"/>
          <w:szCs w:val="21"/>
        </w:rPr>
        <w:t>, Zhuxing Ji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b</w:t>
      </w:r>
      <w:r w:rsidRPr="00773504">
        <w:rPr>
          <w:rFonts w:ascii="Times New Roman" w:hAnsi="Times New Roman" w:cs="Times New Roman"/>
          <w:b/>
          <w:color w:val="000000" w:themeColor="text1"/>
          <w:szCs w:val="21"/>
        </w:rPr>
        <w:t>, Miao Cai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b</w:t>
      </w:r>
      <w:r w:rsidRPr="00773504">
        <w:rPr>
          <w:rFonts w:ascii="Times New Roman" w:hAnsi="Times New Roman" w:cs="Times New Roman"/>
          <w:b/>
          <w:color w:val="000000" w:themeColor="text1"/>
          <w:szCs w:val="21"/>
        </w:rPr>
        <w:t>, Ruyi Gao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b</w:t>
      </w:r>
      <w:r w:rsidRPr="00773504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 xml:space="preserve">, 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c</w:t>
      </w:r>
      <w:r w:rsidRPr="00773504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 xml:space="preserve">, 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d</w:t>
      </w:r>
      <w:r w:rsidRPr="00773504">
        <w:rPr>
          <w:rFonts w:ascii="Times New Roman" w:hAnsi="Times New Roman" w:cs="Times New Roman"/>
          <w:b/>
          <w:color w:val="000000" w:themeColor="text1"/>
          <w:szCs w:val="21"/>
        </w:rPr>
        <w:t>, Pinghu Zhang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e</w:t>
      </w:r>
      <w:r w:rsidRPr="00773504">
        <w:rPr>
          <w:rFonts w:ascii="Times New Roman" w:hAnsi="Times New Roman" w:cs="Times New Roman"/>
          <w:b/>
          <w:color w:val="000000" w:themeColor="text1"/>
          <w:szCs w:val="21"/>
        </w:rPr>
        <w:t>, Xiaowen Liu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b</w:t>
      </w:r>
      <w:r w:rsidRPr="00773504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>,</w:t>
      </w:r>
      <w:r w:rsidRPr="00773504">
        <w:rPr>
          <w:rFonts w:ascii="Times New Roman" w:hAnsi="Times New Roman" w:cs="Times New Roman"/>
          <w:b/>
          <w:color w:val="000000" w:themeColor="text1"/>
          <w:szCs w:val="21"/>
        </w:rPr>
        <w:t xml:space="preserve"> 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c</w:t>
      </w:r>
      <w:r w:rsidRPr="00773504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 xml:space="preserve">, 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d</w:t>
      </w:r>
      <w:r w:rsidRPr="00773504">
        <w:rPr>
          <w:rFonts w:ascii="Times New Roman" w:hAnsi="Times New Roman" w:cs="Times New Roman"/>
          <w:b/>
          <w:color w:val="000000" w:themeColor="text1"/>
          <w:szCs w:val="21"/>
        </w:rPr>
        <w:t>, Xiulong Xu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a</w:t>
      </w:r>
      <w:r w:rsidRPr="00773504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 xml:space="preserve">, 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b</w:t>
      </w:r>
      <w:r w:rsidRPr="00773504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 xml:space="preserve">, 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c</w:t>
      </w:r>
      <w:r w:rsidRPr="00773504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 xml:space="preserve">, 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d</w:t>
      </w:r>
      <w:r w:rsidRPr="00773504">
        <w:rPr>
          <w:rFonts w:ascii="Times New Roman" w:hAnsi="Times New Roman" w:cs="Times New Roman"/>
          <w:b/>
          <w:color w:val="000000" w:themeColor="text1"/>
          <w:szCs w:val="21"/>
        </w:rPr>
        <w:t>, Xiaoquan Wang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a</w:t>
      </w:r>
      <w:r w:rsidRPr="00773504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 xml:space="preserve">, 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b</w:t>
      </w:r>
      <w:r w:rsidRPr="00773504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 xml:space="preserve">, 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c</w:t>
      </w:r>
      <w:r w:rsidRPr="00773504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 xml:space="preserve">, 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d, *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</w:rPr>
        <w:t>,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 xml:space="preserve"> </w:t>
      </w:r>
      <w:r w:rsidRPr="00773504">
        <w:rPr>
          <w:rFonts w:ascii="Times New Roman" w:hAnsi="Times New Roman" w:cs="Times New Roman"/>
          <w:b/>
          <w:color w:val="000000" w:themeColor="text1"/>
          <w:szCs w:val="21"/>
        </w:rPr>
        <w:t>Xiufan Liu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a</w:t>
      </w:r>
      <w:r w:rsidRPr="00773504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 xml:space="preserve">, 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b</w:t>
      </w:r>
      <w:r w:rsidRPr="00773504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 xml:space="preserve">, 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c</w:t>
      </w:r>
      <w:r w:rsidRPr="00773504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 xml:space="preserve">, </w:t>
      </w:r>
      <w:r w:rsidRPr="00773504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d, *</w:t>
      </w:r>
    </w:p>
    <w:p w:rsidR="00634F9B" w:rsidRPr="00781189" w:rsidRDefault="00634F9B" w:rsidP="00634F9B">
      <w:pPr>
        <w:suppressAutoHyphens/>
        <w:jc w:val="left"/>
        <w:rPr>
          <w:rFonts w:ascii="Times New Roman" w:hAnsi="Times New Roman"/>
          <w:b/>
          <w:bCs/>
          <w:szCs w:val="21"/>
        </w:rPr>
      </w:pPr>
    </w:p>
    <w:p w:rsidR="00551E70" w:rsidRPr="00634F9B" w:rsidRDefault="00551E70" w:rsidP="00DE5AC2">
      <w:pPr>
        <w:rPr>
          <w:rFonts w:ascii="Times New Roman" w:hAnsi="Times New Roman" w:cs="Times New Roman"/>
          <w:sz w:val="22"/>
        </w:rPr>
      </w:pPr>
    </w:p>
    <w:p w:rsidR="009579F2" w:rsidRPr="00B9682E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781189" w:rsidRPr="00773504" w:rsidRDefault="00781189" w:rsidP="00781189">
      <w:pPr>
        <w:ind w:left="210" w:hangingChars="100" w:hanging="210"/>
        <w:rPr>
          <w:rFonts w:ascii="Times New Roman" w:hAnsi="Times New Roman" w:cs="Times New Roman"/>
          <w:i/>
          <w:color w:val="000000" w:themeColor="text1"/>
          <w:szCs w:val="21"/>
        </w:rPr>
      </w:pPr>
      <w:r w:rsidRPr="00773504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a</w:t>
      </w:r>
      <w:r w:rsidRPr="00773504">
        <w:rPr>
          <w:rFonts w:ascii="Times New Roman" w:hAnsi="Times New Roman" w:cs="Times New Roman"/>
          <w:i/>
          <w:color w:val="000000" w:themeColor="text1"/>
          <w:szCs w:val="21"/>
        </w:rPr>
        <w:t xml:space="preserve"> Joint International Research Laboratory of Agriculture and Agri-Product Safety, The Ministry of Education of China, Yangzhou University, Yangzhou, </w:t>
      </w:r>
      <w:r>
        <w:rPr>
          <w:rFonts w:ascii="Times New Roman" w:hAnsi="Times New Roman" w:cs="Times New Roman"/>
          <w:i/>
          <w:color w:val="000000" w:themeColor="text1"/>
          <w:szCs w:val="21"/>
        </w:rPr>
        <w:t>225009</w:t>
      </w:r>
      <w:r w:rsidRPr="00773504">
        <w:rPr>
          <w:rFonts w:ascii="Times New Roman" w:hAnsi="Times New Roman" w:cs="Times New Roman" w:hint="eastAsia"/>
          <w:i/>
          <w:color w:val="000000" w:themeColor="text1"/>
          <w:szCs w:val="21"/>
        </w:rPr>
        <w:t xml:space="preserve">, </w:t>
      </w:r>
      <w:r w:rsidRPr="00773504">
        <w:rPr>
          <w:rFonts w:ascii="Times New Roman" w:hAnsi="Times New Roman" w:cs="Times New Roman"/>
          <w:i/>
          <w:color w:val="000000" w:themeColor="text1"/>
          <w:szCs w:val="21"/>
        </w:rPr>
        <w:t>China</w:t>
      </w:r>
    </w:p>
    <w:p w:rsidR="00781189" w:rsidRPr="00773504" w:rsidRDefault="00781189" w:rsidP="00781189">
      <w:pPr>
        <w:ind w:left="210" w:hangingChars="100" w:hanging="210"/>
        <w:rPr>
          <w:rFonts w:ascii="Times New Roman" w:hAnsi="Times New Roman" w:cs="Times New Roman"/>
          <w:i/>
          <w:color w:val="000000" w:themeColor="text1"/>
          <w:szCs w:val="21"/>
        </w:rPr>
      </w:pPr>
      <w:r w:rsidRPr="00773504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b</w:t>
      </w:r>
      <w:r w:rsidRPr="00773504">
        <w:rPr>
          <w:rFonts w:ascii="Times New Roman" w:hAnsi="Times New Roman" w:cs="Times New Roman"/>
          <w:i/>
          <w:color w:val="000000" w:themeColor="text1"/>
          <w:szCs w:val="21"/>
        </w:rPr>
        <w:t xml:space="preserve"> Animal Infectious Disease Laboratory, College of Veterinary Medicine, Yangzhou University, Yangzhou, </w:t>
      </w:r>
      <w:r>
        <w:rPr>
          <w:rFonts w:ascii="Times New Roman" w:hAnsi="Times New Roman" w:cs="Times New Roman"/>
          <w:i/>
          <w:color w:val="000000" w:themeColor="text1"/>
          <w:szCs w:val="21"/>
        </w:rPr>
        <w:t>225009</w:t>
      </w:r>
      <w:r w:rsidRPr="00773504">
        <w:rPr>
          <w:rFonts w:ascii="Times New Roman" w:hAnsi="Times New Roman" w:cs="Times New Roman" w:hint="eastAsia"/>
          <w:i/>
          <w:color w:val="000000" w:themeColor="text1"/>
          <w:szCs w:val="21"/>
        </w:rPr>
        <w:t xml:space="preserve">, </w:t>
      </w:r>
      <w:r w:rsidRPr="00773504">
        <w:rPr>
          <w:rFonts w:ascii="Times New Roman" w:hAnsi="Times New Roman" w:cs="Times New Roman"/>
          <w:i/>
          <w:color w:val="000000" w:themeColor="text1"/>
          <w:szCs w:val="21"/>
        </w:rPr>
        <w:t xml:space="preserve">China </w:t>
      </w:r>
    </w:p>
    <w:p w:rsidR="00781189" w:rsidRPr="00773504" w:rsidRDefault="00781189" w:rsidP="00781189">
      <w:pPr>
        <w:ind w:left="210" w:hangingChars="100" w:hanging="210"/>
        <w:rPr>
          <w:rFonts w:ascii="Times New Roman" w:hAnsi="Times New Roman" w:cs="Times New Roman"/>
          <w:i/>
          <w:color w:val="000000" w:themeColor="text1"/>
          <w:szCs w:val="21"/>
        </w:rPr>
      </w:pPr>
      <w:r w:rsidRPr="00773504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c</w:t>
      </w:r>
      <w:r w:rsidRPr="00773504">
        <w:rPr>
          <w:rFonts w:ascii="Times New Roman" w:hAnsi="Times New Roman" w:cs="Times New Roman"/>
          <w:i/>
          <w:color w:val="000000" w:themeColor="text1"/>
          <w:szCs w:val="21"/>
        </w:rPr>
        <w:t xml:space="preserve"> Jiangsu Co-innovation Center for Prevention and Control of Important Animal Infectious Diseases and Zoonosis, Yangzhou University, Yangzhou, </w:t>
      </w:r>
      <w:r>
        <w:rPr>
          <w:rFonts w:ascii="Times New Roman" w:hAnsi="Times New Roman" w:cs="Times New Roman"/>
          <w:i/>
          <w:color w:val="000000" w:themeColor="text1"/>
          <w:szCs w:val="21"/>
        </w:rPr>
        <w:t>225009</w:t>
      </w:r>
      <w:r w:rsidRPr="00773504">
        <w:rPr>
          <w:rFonts w:ascii="Times New Roman" w:hAnsi="Times New Roman" w:cs="Times New Roman"/>
          <w:i/>
          <w:color w:val="000000" w:themeColor="text1"/>
          <w:szCs w:val="21"/>
        </w:rPr>
        <w:t xml:space="preserve">, China </w:t>
      </w:r>
    </w:p>
    <w:p w:rsidR="00781189" w:rsidRPr="00773504" w:rsidRDefault="00781189" w:rsidP="00781189">
      <w:pPr>
        <w:rPr>
          <w:rFonts w:ascii="Times New Roman" w:hAnsi="Times New Roman" w:cs="Times New Roman"/>
          <w:i/>
          <w:color w:val="000000" w:themeColor="text1"/>
          <w:szCs w:val="21"/>
        </w:rPr>
      </w:pPr>
      <w:r w:rsidRPr="00773504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d</w:t>
      </w:r>
      <w:r w:rsidRPr="00773504">
        <w:rPr>
          <w:rFonts w:ascii="Times New Roman" w:hAnsi="Times New Roman" w:cs="Times New Roman"/>
          <w:i/>
          <w:color w:val="000000" w:themeColor="text1"/>
          <w:szCs w:val="21"/>
        </w:rPr>
        <w:t xml:space="preserve"> Jiangsu Key Laboratory of Zoonosis, Yangzhou, </w:t>
      </w:r>
      <w:r>
        <w:rPr>
          <w:rFonts w:ascii="Times New Roman" w:hAnsi="Times New Roman" w:cs="Times New Roman"/>
          <w:i/>
          <w:color w:val="000000" w:themeColor="text1"/>
          <w:szCs w:val="21"/>
        </w:rPr>
        <w:t>225009</w:t>
      </w:r>
      <w:r w:rsidRPr="00773504">
        <w:rPr>
          <w:rFonts w:ascii="Times New Roman" w:hAnsi="Times New Roman" w:cs="Times New Roman"/>
          <w:i/>
          <w:color w:val="000000" w:themeColor="text1"/>
          <w:szCs w:val="21"/>
        </w:rPr>
        <w:t xml:space="preserve">, China </w:t>
      </w:r>
    </w:p>
    <w:p w:rsidR="00413E21" w:rsidRPr="00B9682E" w:rsidRDefault="00781189" w:rsidP="00781189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773504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e</w:t>
      </w:r>
      <w:r w:rsidRPr="00773504">
        <w:rPr>
          <w:rFonts w:ascii="Times New Roman" w:hAnsi="Times New Roman" w:cs="Times New Roman"/>
          <w:i/>
          <w:color w:val="000000" w:themeColor="text1"/>
          <w:szCs w:val="21"/>
        </w:rPr>
        <w:t xml:space="preserve"> Institute of Translational Medicine, Key Laboratory of Geriatric Disease Prevention and Control of Jiangsu Province, Medical College, Yangzhou University, Yangzhou, </w:t>
      </w:r>
      <w:r>
        <w:rPr>
          <w:rFonts w:ascii="Times New Roman" w:hAnsi="Times New Roman" w:cs="Times New Roman"/>
          <w:i/>
          <w:color w:val="000000" w:themeColor="text1"/>
          <w:szCs w:val="21"/>
        </w:rPr>
        <w:t>225009</w:t>
      </w:r>
      <w:r w:rsidRPr="00773504">
        <w:rPr>
          <w:rFonts w:ascii="Times New Roman" w:hAnsi="Times New Roman" w:cs="Times New Roman"/>
          <w:i/>
          <w:color w:val="000000" w:themeColor="text1"/>
          <w:szCs w:val="21"/>
        </w:rPr>
        <w:t>, China</w:t>
      </w:r>
    </w:p>
    <w:p w:rsidR="000741BA" w:rsidRPr="00B9682E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B9682E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9682E">
        <w:rPr>
          <w:rFonts w:ascii="Times New Roman" w:hAnsi="Times New Roman" w:cs="Times New Roman"/>
          <w:szCs w:val="21"/>
          <w:vertAlign w:val="superscript"/>
        </w:rPr>
        <w:t>*</w:t>
      </w:r>
      <w:r w:rsidRPr="00B9682E">
        <w:rPr>
          <w:rFonts w:ascii="Times New Roman" w:hAnsi="Times New Roman" w:cs="Times New Roman"/>
          <w:szCs w:val="21"/>
        </w:rPr>
        <w:t xml:space="preserve"> Corresponding author. </w:t>
      </w:r>
    </w:p>
    <w:p w:rsidR="008358B6" w:rsidRPr="00781189" w:rsidRDefault="008C4C89" w:rsidP="007811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9682E">
        <w:rPr>
          <w:rFonts w:ascii="Times New Roman" w:hAnsi="Times New Roman" w:cs="Times New Roman"/>
          <w:i/>
          <w:szCs w:val="21"/>
        </w:rPr>
        <w:t>E-mail addresses</w:t>
      </w:r>
      <w:r w:rsidRPr="00B9682E">
        <w:rPr>
          <w:rFonts w:ascii="Times New Roman" w:hAnsi="Times New Roman" w:cs="Times New Roman"/>
          <w:szCs w:val="21"/>
        </w:rPr>
        <w:t xml:space="preserve">: </w:t>
      </w:r>
      <w:r w:rsidR="00781189" w:rsidRPr="00773504">
        <w:rPr>
          <w:rFonts w:ascii="Times New Roman" w:eastAsia="SimSun" w:hAnsi="Times New Roman" w:cs="Times New Roman"/>
          <w:color w:val="000000"/>
          <w:szCs w:val="21"/>
        </w:rPr>
        <w:t xml:space="preserve">wxq@yzu.edu.cn (X. Wang), </w:t>
      </w:r>
      <w:hyperlink r:id="rId7" w:history="1">
        <w:r w:rsidR="00781189" w:rsidRPr="00773504">
          <w:rPr>
            <w:rFonts w:ascii="Times New Roman" w:eastAsia="SimSun" w:hAnsi="Times New Roman" w:cs="Times New Roman"/>
            <w:color w:val="000000"/>
            <w:szCs w:val="21"/>
          </w:rPr>
          <w:t>xfliu@yzu.edu.cn</w:t>
        </w:r>
      </w:hyperlink>
      <w:r w:rsidR="00781189" w:rsidRPr="00773504">
        <w:rPr>
          <w:rFonts w:ascii="Times New Roman" w:eastAsia="SimSun" w:hAnsi="Times New Roman" w:cs="Times New Roman"/>
          <w:color w:val="000000"/>
          <w:szCs w:val="21"/>
        </w:rPr>
        <w:t xml:space="preserve"> (X. Liu)</w:t>
      </w:r>
    </w:p>
    <w:p w:rsidR="00713212" w:rsidRPr="00B9682E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9682E" w:rsidSect="00DE5AC2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Y="900"/>
        <w:tblW w:w="5721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1"/>
        <w:gridCol w:w="1019"/>
        <w:gridCol w:w="1310"/>
        <w:gridCol w:w="1602"/>
        <w:gridCol w:w="1749"/>
        <w:gridCol w:w="1313"/>
        <w:gridCol w:w="1604"/>
      </w:tblGrid>
      <w:tr w:rsidR="00781189" w:rsidRPr="00F44C6F" w:rsidTr="007A7B68">
        <w:trPr>
          <w:trHeight w:val="112"/>
        </w:trPr>
        <w:tc>
          <w:tcPr>
            <w:tcW w:w="595" w:type="pct"/>
            <w:vMerge w:val="restart"/>
          </w:tcPr>
          <w:p w:rsidR="00781189" w:rsidRPr="009D5AB4" w:rsidRDefault="00781189" w:rsidP="007A7B6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D5AB4">
              <w:rPr>
                <w:rFonts w:ascii="Times New Roman" w:hAnsi="Times New Roman"/>
                <w:sz w:val="24"/>
                <w:szCs w:val="24"/>
              </w:rPr>
              <w:lastRenderedPageBreak/>
              <w:t>Strain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22" w:type="pct"/>
            <w:vMerge w:val="restart"/>
          </w:tcPr>
          <w:p w:rsidR="00781189" w:rsidRPr="009D5AB4" w:rsidRDefault="00781189" w:rsidP="007A7B6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ost</w:t>
            </w:r>
          </w:p>
        </w:tc>
        <w:tc>
          <w:tcPr>
            <w:tcW w:w="671" w:type="pct"/>
            <w:vMerge w:val="restart"/>
          </w:tcPr>
          <w:p w:rsidR="00781189" w:rsidRDefault="00781189" w:rsidP="007A7B68">
            <w:pPr>
              <w:rPr>
                <w:rFonts w:ascii="Times New Roman" w:hAnsi="Times New Roman"/>
                <w:sz w:val="24"/>
                <w:szCs w:val="24"/>
              </w:rPr>
            </w:pPr>
            <w:r w:rsidRPr="009D5AB4">
              <w:rPr>
                <w:rFonts w:ascii="Times New Roman" w:hAnsi="Times New Roman"/>
                <w:sz w:val="24"/>
                <w:szCs w:val="24"/>
              </w:rPr>
              <w:t>Collection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781189" w:rsidRPr="009D5AB4" w:rsidRDefault="00781189" w:rsidP="007A7B68">
            <w:pPr>
              <w:rPr>
                <w:rFonts w:ascii="Times New Roman" w:hAnsi="Times New Roman"/>
                <w:sz w:val="24"/>
                <w:szCs w:val="24"/>
              </w:rPr>
            </w:pPr>
            <w:r w:rsidRPr="009D5AB4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3212" w:type="pct"/>
            <w:gridSpan w:val="4"/>
          </w:tcPr>
          <w:p w:rsidR="00781189" w:rsidRPr="009D5AB4" w:rsidRDefault="00781189" w:rsidP="007A7B68">
            <w:pPr>
              <w:rPr>
                <w:rFonts w:ascii="Times New Roman" w:hAnsi="Times New Roman"/>
                <w:sz w:val="24"/>
                <w:szCs w:val="24"/>
              </w:rPr>
            </w:pPr>
            <w:r w:rsidRPr="007500E3">
              <w:rPr>
                <w:rFonts w:ascii="Times New Roman" w:hAnsi="Times New Roman"/>
                <w:sz w:val="24"/>
                <w:szCs w:val="24"/>
              </w:rPr>
              <w:t>Characteristics</w:t>
            </w:r>
          </w:p>
        </w:tc>
      </w:tr>
      <w:tr w:rsidR="00781189" w:rsidRPr="00F44C6F" w:rsidTr="007A7B68">
        <w:trPr>
          <w:trHeight w:val="292"/>
        </w:trPr>
        <w:tc>
          <w:tcPr>
            <w:tcW w:w="595" w:type="pct"/>
            <w:vMerge/>
            <w:tcBorders>
              <w:bottom w:val="single" w:sz="4" w:space="0" w:color="auto"/>
            </w:tcBorders>
          </w:tcPr>
          <w:p w:rsidR="00781189" w:rsidRPr="009D5AB4" w:rsidRDefault="00781189" w:rsidP="007A7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</w:tcPr>
          <w:p w:rsidR="00781189" w:rsidRPr="009D5AB4" w:rsidRDefault="00781189" w:rsidP="007A7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</w:tcPr>
          <w:p w:rsidR="00781189" w:rsidRPr="009D5AB4" w:rsidRDefault="00781189" w:rsidP="007A7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781189" w:rsidRPr="009D5AB4" w:rsidRDefault="00781189" w:rsidP="007A7B68">
            <w:pPr>
              <w:rPr>
                <w:rFonts w:ascii="Times New Roman" w:hAnsi="Times New Roman"/>
                <w:sz w:val="24"/>
                <w:szCs w:val="24"/>
              </w:rPr>
            </w:pPr>
            <w:r w:rsidRPr="009D5AB4">
              <w:rPr>
                <w:rFonts w:ascii="Times New Roman" w:hAnsi="Times New Roman"/>
                <w:sz w:val="24"/>
                <w:szCs w:val="24"/>
              </w:rPr>
              <w:t>EID</w:t>
            </w:r>
            <w:r w:rsidRPr="009D5AB4">
              <w:rPr>
                <w:rFonts w:ascii="Times New Roman" w:hAnsi="Times New Roman"/>
                <w:sz w:val="24"/>
                <w:szCs w:val="24"/>
                <w:vertAlign w:val="subscript"/>
              </w:rPr>
              <w:t>50</w:t>
            </w:r>
            <w:r w:rsidRPr="00C3635F">
              <w:rPr>
                <w:rFonts w:ascii="Times New Roman" w:hAnsi="Times New Roman"/>
                <w:sz w:val="24"/>
                <w:szCs w:val="24"/>
              </w:rPr>
              <w:t>/0.1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3635F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781189" w:rsidRPr="009D5AB4" w:rsidRDefault="00781189" w:rsidP="007A7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  <w:r w:rsidRPr="009D5AB4">
              <w:rPr>
                <w:rFonts w:ascii="Times New Roman" w:hAnsi="Times New Roman"/>
                <w:sz w:val="24"/>
                <w:szCs w:val="24"/>
              </w:rPr>
              <w:t>ID</w:t>
            </w:r>
            <w:r w:rsidRPr="009D5AB4">
              <w:rPr>
                <w:rFonts w:ascii="Times New Roman" w:hAnsi="Times New Roman"/>
                <w:sz w:val="24"/>
                <w:szCs w:val="24"/>
                <w:vertAlign w:val="subscript"/>
              </w:rPr>
              <w:t>50</w:t>
            </w:r>
            <w:r w:rsidRPr="00C3635F">
              <w:rPr>
                <w:rFonts w:ascii="Times New Roman" w:hAnsi="Times New Roman"/>
                <w:sz w:val="24"/>
                <w:szCs w:val="24"/>
              </w:rPr>
              <w:t>/0.1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3635F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781189" w:rsidRPr="009D5AB4" w:rsidRDefault="00781189" w:rsidP="007A7B68">
            <w:pPr>
              <w:rPr>
                <w:rFonts w:ascii="Times New Roman" w:hAnsi="Times New Roman"/>
                <w:sz w:val="24"/>
                <w:szCs w:val="24"/>
              </w:rPr>
            </w:pPr>
            <w:r w:rsidRPr="009D5AB4">
              <w:rPr>
                <w:rFonts w:ascii="Times New Roman" w:hAnsi="Times New Roman"/>
                <w:sz w:val="24"/>
                <w:szCs w:val="24"/>
              </w:rPr>
              <w:t>IVPI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781189" w:rsidRPr="009D5AB4" w:rsidRDefault="00781189" w:rsidP="007A7B68">
            <w:pPr>
              <w:rPr>
                <w:rFonts w:ascii="Times New Roman" w:hAnsi="Times New Roman"/>
                <w:sz w:val="24"/>
                <w:szCs w:val="24"/>
              </w:rPr>
            </w:pPr>
            <w:r w:rsidRPr="009D5AB4">
              <w:rPr>
                <w:rFonts w:ascii="Times New Roman" w:hAnsi="Times New Roman"/>
                <w:sz w:val="24"/>
                <w:szCs w:val="24"/>
              </w:rPr>
              <w:t>MLD</w:t>
            </w:r>
            <w:r w:rsidRPr="009D5AB4">
              <w:rPr>
                <w:rFonts w:ascii="Times New Roman" w:hAnsi="Times New Roman"/>
                <w:sz w:val="24"/>
                <w:szCs w:val="24"/>
                <w:vertAlign w:val="sub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e</w:t>
            </w:r>
          </w:p>
        </w:tc>
      </w:tr>
      <w:tr w:rsidR="00781189" w:rsidRPr="00773504" w:rsidTr="007A7B68">
        <w:trPr>
          <w:trHeight w:val="106"/>
        </w:trPr>
        <w:tc>
          <w:tcPr>
            <w:tcW w:w="595" w:type="pct"/>
            <w:tcBorders>
              <w:top w:val="single" w:sz="4" w:space="0" w:color="auto"/>
            </w:tcBorders>
          </w:tcPr>
          <w:p w:rsidR="00781189" w:rsidRPr="00773504" w:rsidRDefault="00781189" w:rsidP="007A7B6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773504">
              <w:rPr>
                <w:rFonts w:ascii="Times New Roman" w:hAnsi="Times New Roman"/>
                <w:szCs w:val="21"/>
              </w:rPr>
              <w:t>AH320</w:t>
            </w:r>
            <w:r w:rsidRPr="00773504">
              <w:rPr>
                <w:rFonts w:ascii="Times New Roman" w:hAnsi="Times New Roman"/>
                <w:szCs w:val="21"/>
                <w:vertAlign w:val="superscript"/>
              </w:rPr>
              <w:t>a</w:t>
            </w:r>
          </w:p>
        </w:tc>
        <w:tc>
          <w:tcPr>
            <w:tcW w:w="522" w:type="pct"/>
            <w:tcBorders>
              <w:top w:val="single" w:sz="4" w:space="0" w:color="auto"/>
            </w:tcBorders>
          </w:tcPr>
          <w:p w:rsidR="00781189" w:rsidRPr="00773504" w:rsidRDefault="00781189" w:rsidP="007A7B6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 w:rsidRPr="00773504">
              <w:rPr>
                <w:rFonts w:ascii="Times New Roman" w:hAnsi="Times New Roman"/>
                <w:szCs w:val="21"/>
              </w:rPr>
              <w:t>hicken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781189" w:rsidRPr="00773504" w:rsidRDefault="00781189" w:rsidP="007A7B6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773504">
              <w:rPr>
                <w:rFonts w:ascii="Times New Roman" w:hAnsi="Times New Roman"/>
                <w:szCs w:val="21"/>
              </w:rPr>
              <w:t>2015.</w:t>
            </w:r>
            <w:r w:rsidRPr="00773504">
              <w:rPr>
                <w:rFonts w:ascii="Times New Roman" w:hAnsi="Times New Roman" w:hint="eastAsia"/>
                <w:szCs w:val="21"/>
              </w:rPr>
              <w:t>0</w:t>
            </w:r>
            <w:r w:rsidRPr="00773504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781189" w:rsidRPr="00773504" w:rsidRDefault="00781189" w:rsidP="007A7B6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773504">
              <w:rPr>
                <w:rFonts w:ascii="Times New Roman" w:hAnsi="Times New Roman"/>
                <w:szCs w:val="21"/>
              </w:rPr>
              <w:t>10</w:t>
            </w:r>
            <w:r w:rsidRPr="00773504">
              <w:rPr>
                <w:rFonts w:ascii="Times New Roman" w:hAnsi="Times New Roman"/>
                <w:szCs w:val="21"/>
                <w:vertAlign w:val="superscript"/>
              </w:rPr>
              <w:t>8.3</w:t>
            </w:r>
          </w:p>
        </w:tc>
        <w:tc>
          <w:tcPr>
            <w:tcW w:w="896" w:type="pct"/>
            <w:tcBorders>
              <w:top w:val="single" w:sz="4" w:space="0" w:color="auto"/>
            </w:tcBorders>
          </w:tcPr>
          <w:p w:rsidR="00781189" w:rsidRPr="00773504" w:rsidRDefault="00781189" w:rsidP="007A7B6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773504">
              <w:rPr>
                <w:rFonts w:ascii="Times New Roman" w:hAnsi="Times New Roman" w:hint="eastAsia"/>
                <w:szCs w:val="21"/>
              </w:rPr>
              <w:t>1</w:t>
            </w:r>
            <w:r w:rsidRPr="00773504">
              <w:rPr>
                <w:rFonts w:ascii="Times New Roman" w:hAnsi="Times New Roman"/>
                <w:szCs w:val="21"/>
              </w:rPr>
              <w:t>0</w:t>
            </w:r>
            <w:r w:rsidRPr="00773504">
              <w:rPr>
                <w:rFonts w:ascii="Times New Roman" w:hAnsi="Times New Roman"/>
                <w:szCs w:val="21"/>
                <w:vertAlign w:val="superscript"/>
              </w:rPr>
              <w:t>7.5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781189" w:rsidRPr="00773504" w:rsidRDefault="00781189" w:rsidP="007A7B6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773504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781189" w:rsidRPr="00781189" w:rsidRDefault="00781189" w:rsidP="00781189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&gt; </w:t>
            </w:r>
            <w:r w:rsidRPr="00781189">
              <w:rPr>
                <w:rFonts w:ascii="Times New Roman" w:hAnsi="Times New Roman"/>
                <w:szCs w:val="21"/>
              </w:rPr>
              <w:t>10</w:t>
            </w:r>
            <w:r w:rsidRPr="00781189">
              <w:rPr>
                <w:rFonts w:ascii="Times New Roman" w:hAnsi="Times New Roman"/>
                <w:szCs w:val="21"/>
                <w:vertAlign w:val="superscript"/>
              </w:rPr>
              <w:t>6.5</w:t>
            </w:r>
          </w:p>
        </w:tc>
      </w:tr>
    </w:tbl>
    <w:p w:rsidR="00781189" w:rsidRPr="00773504" w:rsidRDefault="00781189" w:rsidP="00781189">
      <w:pPr>
        <w:spacing w:line="360" w:lineRule="auto"/>
        <w:rPr>
          <w:rFonts w:ascii="Times New Roman" w:hAnsi="Times New Roman"/>
          <w:szCs w:val="21"/>
        </w:rPr>
      </w:pPr>
      <w:r w:rsidRPr="006D0415">
        <w:rPr>
          <w:rFonts w:ascii="Times New Roman" w:hAnsi="Times New Roman"/>
          <w:b/>
          <w:szCs w:val="21"/>
        </w:rPr>
        <w:t>Supplementary Table S1</w:t>
      </w:r>
      <w:r w:rsidRPr="00773504">
        <w:rPr>
          <w:rFonts w:ascii="Times New Roman" w:hAnsi="Times New Roman"/>
          <w:szCs w:val="21"/>
        </w:rPr>
        <w:t xml:space="preserve"> Biological Characterizations of AH320</w:t>
      </w:r>
      <w:r>
        <w:rPr>
          <w:rFonts w:ascii="Times New Roman" w:hAnsi="Times New Roman" w:hint="eastAsia"/>
          <w:szCs w:val="21"/>
        </w:rPr>
        <w:t>.</w:t>
      </w:r>
    </w:p>
    <w:p w:rsidR="00781189" w:rsidRPr="00773504" w:rsidRDefault="00781189" w:rsidP="00781189">
      <w:pPr>
        <w:spacing w:line="360" w:lineRule="auto"/>
        <w:rPr>
          <w:rFonts w:ascii="Times New Roman" w:hAnsi="Times New Roman"/>
          <w:szCs w:val="21"/>
        </w:rPr>
      </w:pPr>
      <w:r w:rsidRPr="00773504">
        <w:rPr>
          <w:rFonts w:ascii="Times New Roman" w:hAnsi="Times New Roman"/>
          <w:szCs w:val="21"/>
          <w:vertAlign w:val="superscript"/>
        </w:rPr>
        <w:t>a</w:t>
      </w:r>
      <w:r w:rsidRPr="00773504">
        <w:rPr>
          <w:rFonts w:ascii="Times New Roman" w:hAnsi="Times New Roman"/>
          <w:szCs w:val="21"/>
        </w:rPr>
        <w:t xml:space="preserve"> AH320, A/chicken/Eastern China/AH320/2015;</w:t>
      </w:r>
    </w:p>
    <w:p w:rsidR="00781189" w:rsidRPr="00773504" w:rsidRDefault="00781189" w:rsidP="00781189">
      <w:pPr>
        <w:spacing w:line="360" w:lineRule="auto"/>
        <w:rPr>
          <w:rFonts w:ascii="Times New Roman" w:hAnsi="Times New Roman"/>
          <w:szCs w:val="21"/>
        </w:rPr>
      </w:pPr>
      <w:r w:rsidRPr="00773504">
        <w:rPr>
          <w:rFonts w:ascii="Times New Roman" w:hAnsi="Times New Roman"/>
          <w:szCs w:val="21"/>
          <w:vertAlign w:val="superscript"/>
        </w:rPr>
        <w:t>b</w:t>
      </w:r>
      <w:r w:rsidRPr="00773504">
        <w:rPr>
          <w:rFonts w:ascii="Times New Roman" w:hAnsi="Times New Roman"/>
          <w:szCs w:val="21"/>
        </w:rPr>
        <w:t xml:space="preserve"> EID</w:t>
      </w:r>
      <w:r w:rsidRPr="00773504">
        <w:rPr>
          <w:rFonts w:ascii="Times New Roman" w:hAnsi="Times New Roman"/>
          <w:szCs w:val="21"/>
          <w:vertAlign w:val="subscript"/>
        </w:rPr>
        <w:t>50</w:t>
      </w:r>
      <w:r w:rsidRPr="00773504">
        <w:rPr>
          <w:rFonts w:ascii="Times New Roman" w:hAnsi="Times New Roman"/>
          <w:szCs w:val="21"/>
        </w:rPr>
        <w:t>, 50% egg infectious dose;</w:t>
      </w:r>
    </w:p>
    <w:p w:rsidR="00781189" w:rsidRPr="00773504" w:rsidRDefault="00781189" w:rsidP="00781189">
      <w:pPr>
        <w:spacing w:line="360" w:lineRule="auto"/>
        <w:rPr>
          <w:rFonts w:ascii="Times New Roman" w:hAnsi="Times New Roman"/>
          <w:szCs w:val="21"/>
        </w:rPr>
      </w:pPr>
      <w:r w:rsidRPr="00773504">
        <w:rPr>
          <w:rFonts w:ascii="Times New Roman" w:hAnsi="Times New Roman"/>
          <w:szCs w:val="21"/>
          <w:vertAlign w:val="superscript"/>
        </w:rPr>
        <w:t>c</w:t>
      </w:r>
      <w:r w:rsidRPr="00773504">
        <w:rPr>
          <w:rFonts w:ascii="Times New Roman" w:hAnsi="Times New Roman"/>
          <w:szCs w:val="21"/>
        </w:rPr>
        <w:t xml:space="preserve"> TCID</w:t>
      </w:r>
      <w:r w:rsidRPr="00773504">
        <w:rPr>
          <w:rFonts w:ascii="Times New Roman" w:hAnsi="Times New Roman"/>
          <w:szCs w:val="21"/>
          <w:vertAlign w:val="subscript"/>
        </w:rPr>
        <w:t>50</w:t>
      </w:r>
      <w:r w:rsidRPr="00773504">
        <w:rPr>
          <w:rFonts w:ascii="Times New Roman" w:hAnsi="Times New Roman"/>
          <w:szCs w:val="21"/>
        </w:rPr>
        <w:t>, 50% tissue culture infectious dose;</w:t>
      </w:r>
    </w:p>
    <w:p w:rsidR="00781189" w:rsidRPr="00773504" w:rsidRDefault="00781189" w:rsidP="00781189">
      <w:pPr>
        <w:spacing w:line="360" w:lineRule="auto"/>
        <w:rPr>
          <w:rFonts w:ascii="Times New Roman" w:hAnsi="Times New Roman"/>
          <w:szCs w:val="21"/>
        </w:rPr>
      </w:pPr>
      <w:r w:rsidRPr="00773504">
        <w:rPr>
          <w:rFonts w:ascii="Times New Roman" w:hAnsi="Times New Roman"/>
          <w:szCs w:val="21"/>
          <w:vertAlign w:val="superscript"/>
        </w:rPr>
        <w:t>d</w:t>
      </w:r>
      <w:r w:rsidRPr="00773504">
        <w:rPr>
          <w:rFonts w:ascii="Times New Roman" w:hAnsi="Times New Roman"/>
          <w:szCs w:val="21"/>
        </w:rPr>
        <w:t xml:space="preserve"> IVPI, intravenous pathogenicity index (determined in chickens);</w:t>
      </w:r>
    </w:p>
    <w:p w:rsidR="00781189" w:rsidRPr="00773504" w:rsidRDefault="00781189" w:rsidP="00781189">
      <w:pPr>
        <w:spacing w:line="360" w:lineRule="auto"/>
        <w:ind w:left="210" w:hangingChars="100" w:hanging="210"/>
        <w:rPr>
          <w:szCs w:val="21"/>
        </w:rPr>
      </w:pPr>
      <w:r w:rsidRPr="00773504">
        <w:rPr>
          <w:rFonts w:ascii="Times New Roman" w:hAnsi="Times New Roman"/>
          <w:szCs w:val="21"/>
          <w:vertAlign w:val="superscript"/>
        </w:rPr>
        <w:t>e</w:t>
      </w:r>
      <w:r w:rsidRPr="00773504">
        <w:rPr>
          <w:rFonts w:ascii="Times New Roman" w:hAnsi="Times New Roman"/>
          <w:szCs w:val="21"/>
        </w:rPr>
        <w:t xml:space="preserve"> MLD</w:t>
      </w:r>
      <w:r w:rsidRPr="00773504">
        <w:rPr>
          <w:rFonts w:ascii="Times New Roman" w:hAnsi="Times New Roman"/>
          <w:szCs w:val="21"/>
          <w:vertAlign w:val="subscript"/>
        </w:rPr>
        <w:t>50</w:t>
      </w:r>
      <w:r w:rsidRPr="00773504">
        <w:rPr>
          <w:rFonts w:ascii="Times New Roman" w:hAnsi="Times New Roman"/>
          <w:szCs w:val="21"/>
        </w:rPr>
        <w:t>, 50% lethal dose in mice (expressed as the EID</w:t>
      </w:r>
      <w:r w:rsidRPr="00773504">
        <w:rPr>
          <w:rFonts w:ascii="Times New Roman" w:hAnsi="Times New Roman"/>
          <w:szCs w:val="21"/>
          <w:vertAlign w:val="subscript"/>
        </w:rPr>
        <w:t>50</w:t>
      </w:r>
      <w:r w:rsidRPr="00773504">
        <w:rPr>
          <w:rFonts w:ascii="Times New Roman" w:hAnsi="Times New Roman"/>
          <w:szCs w:val="21"/>
        </w:rPr>
        <w:t xml:space="preserve"> value corresponding to 1 LD</w:t>
      </w:r>
      <w:r w:rsidRPr="00773504">
        <w:rPr>
          <w:rFonts w:ascii="Times New Roman" w:hAnsi="Times New Roman"/>
          <w:szCs w:val="21"/>
          <w:vertAlign w:val="subscript"/>
        </w:rPr>
        <w:t>50</w:t>
      </w:r>
      <w:r w:rsidRPr="00773504"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>.</w:t>
      </w:r>
    </w:p>
    <w:p w:rsidR="00781189" w:rsidRDefault="00781189" w:rsidP="0078118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781189" w:rsidRPr="00773504" w:rsidRDefault="00781189" w:rsidP="00781189">
      <w:pPr>
        <w:spacing w:line="360" w:lineRule="auto"/>
        <w:jc w:val="center"/>
        <w:rPr>
          <w:szCs w:val="21"/>
        </w:rPr>
      </w:pPr>
      <w:r>
        <w:rPr>
          <w:noProof/>
          <w:szCs w:val="21"/>
          <w:lang w:eastAsia="en-US"/>
        </w:rPr>
        <w:lastRenderedPageBreak/>
        <w:drawing>
          <wp:inline distT="0" distB="0" distL="0" distR="0" wp14:anchorId="5D783A3B" wp14:editId="685ED720">
            <wp:extent cx="3962400" cy="1191768"/>
            <wp:effectExtent l="0" t="0" r="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_Fig._S1 110 mm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189" w:rsidRPr="00773504" w:rsidRDefault="00781189" w:rsidP="00781189">
      <w:pPr>
        <w:spacing w:line="360" w:lineRule="auto"/>
        <w:rPr>
          <w:rFonts w:ascii="Times New Roman" w:eastAsia="SimSun" w:hAnsi="Times New Roman" w:cs="Times New Roman"/>
          <w:b/>
          <w:bCs/>
          <w:szCs w:val="21"/>
        </w:rPr>
      </w:pPr>
      <w:bookmarkStart w:id="1" w:name="OLE_LINK13"/>
      <w:r w:rsidRPr="006D0415">
        <w:rPr>
          <w:rFonts w:ascii="Times New Roman" w:hAnsi="Times New Roman"/>
          <w:b/>
          <w:szCs w:val="21"/>
        </w:rPr>
        <w:t>Supplementary Fig</w:t>
      </w:r>
      <w:bookmarkEnd w:id="1"/>
      <w:r w:rsidRPr="006D0415">
        <w:rPr>
          <w:rFonts w:ascii="Times New Roman" w:hAnsi="Times New Roman"/>
          <w:b/>
          <w:szCs w:val="21"/>
        </w:rPr>
        <w:t>. S1</w:t>
      </w:r>
      <w:r w:rsidRPr="00773504">
        <w:rPr>
          <w:rFonts w:ascii="Times New Roman" w:hAnsi="Times New Roman"/>
          <w:szCs w:val="21"/>
        </w:rPr>
        <w:t xml:space="preserve"> Receptor binding properties of AH320.</w:t>
      </w:r>
      <w:r w:rsidRPr="00773504">
        <w:rPr>
          <w:szCs w:val="21"/>
        </w:rPr>
        <w:t xml:space="preserve"> </w:t>
      </w:r>
      <w:r w:rsidRPr="00773504">
        <w:rPr>
          <w:rFonts w:ascii="Times New Roman" w:hAnsi="Times New Roman"/>
          <w:szCs w:val="21"/>
        </w:rPr>
        <w:t>The control viruses of A/California/04/2009 (H1N1 (CA04)) and A/mallard/Huadong/S/2005 (H5N1 (HD05)) showed an absolute preference</w:t>
      </w:r>
      <w:r w:rsidRPr="00773504">
        <w:rPr>
          <w:rFonts w:ascii="Times New Roman" w:hAnsi="Times New Roman" w:hint="eastAsia"/>
          <w:szCs w:val="21"/>
        </w:rPr>
        <w:t xml:space="preserve"> for human-type (SA</w:t>
      </w:r>
      <w:r w:rsidRPr="00773504">
        <w:rPr>
          <w:rFonts w:ascii="Times New Roman" w:hAnsi="Times New Roman"/>
          <w:szCs w:val="21"/>
        </w:rPr>
        <w:t>α</w:t>
      </w:r>
      <w:r w:rsidRPr="00773504">
        <w:rPr>
          <w:rFonts w:ascii="Times New Roman" w:hAnsi="Times New Roman" w:hint="eastAsia"/>
          <w:szCs w:val="21"/>
        </w:rPr>
        <w:t>-2,6Gal) and avian-type (SA</w:t>
      </w:r>
      <w:r w:rsidRPr="00773504">
        <w:rPr>
          <w:rFonts w:ascii="Times New Roman" w:hAnsi="Times New Roman"/>
          <w:szCs w:val="21"/>
        </w:rPr>
        <w:t>α</w:t>
      </w:r>
      <w:r w:rsidRPr="00773504">
        <w:rPr>
          <w:rFonts w:ascii="Times New Roman" w:hAnsi="Times New Roman" w:hint="eastAsia"/>
          <w:szCs w:val="21"/>
        </w:rPr>
        <w:t>-2,3Gal), respectively. Direct binding of viruses to sialyl glycopolymers containing either 3</w:t>
      </w:r>
      <w:r w:rsidRPr="006A0522">
        <w:rPr>
          <w:rFonts w:ascii="Times New Roman" w:hAnsi="Times New Roman" w:cs="Times New Roman"/>
          <w:color w:val="000000" w:themeColor="text1"/>
          <w:sz w:val="20"/>
          <w:szCs w:val="20"/>
        </w:rPr>
        <w:t>′</w:t>
      </w:r>
      <w:r w:rsidRPr="00773504">
        <w:rPr>
          <w:rFonts w:ascii="Times New Roman" w:hAnsi="Times New Roman" w:hint="eastAsia"/>
          <w:szCs w:val="21"/>
        </w:rPr>
        <w:t>SLNPAA or 6</w:t>
      </w:r>
      <w:r w:rsidRPr="006A0522">
        <w:rPr>
          <w:rFonts w:ascii="Times New Roman" w:hAnsi="Times New Roman" w:cs="Times New Roman"/>
          <w:color w:val="000000" w:themeColor="text1"/>
          <w:sz w:val="20"/>
          <w:szCs w:val="20"/>
        </w:rPr>
        <w:t>′</w:t>
      </w:r>
      <w:r w:rsidRPr="00773504">
        <w:rPr>
          <w:rFonts w:ascii="Times New Roman" w:hAnsi="Times New Roman" w:hint="eastAsia"/>
          <w:szCs w:val="21"/>
        </w:rPr>
        <w:t xml:space="preserve">SLN-PAA was measured. The data shown are representative </w:t>
      </w:r>
      <w:r>
        <w:rPr>
          <w:rFonts w:ascii="Times New Roman" w:hAnsi="Times New Roman" w:hint="eastAsia"/>
          <w:szCs w:val="21"/>
        </w:rPr>
        <w:t xml:space="preserve">the mean </w:t>
      </w:r>
      <w:r w:rsidRPr="00773504">
        <w:rPr>
          <w:rFonts w:ascii="Times New Roman" w:hAnsi="Times New Roman" w:hint="eastAsia"/>
          <w:szCs w:val="21"/>
        </w:rPr>
        <w:t>of three independent binding experiments.</w:t>
      </w:r>
    </w:p>
    <w:p w:rsidR="00BF5BE5" w:rsidRPr="00781189" w:rsidRDefault="00BF5BE5" w:rsidP="00781189">
      <w:pPr>
        <w:suppressAutoHyphens/>
        <w:spacing w:line="360" w:lineRule="auto"/>
        <w:rPr>
          <w:rFonts w:ascii="Times New Roman" w:hAnsi="Times New Roman"/>
          <w:sz w:val="22"/>
        </w:rPr>
      </w:pPr>
    </w:p>
    <w:sectPr w:rsidR="00BF5BE5" w:rsidRPr="00781189" w:rsidSect="00634F9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39" w:rsidRDefault="00671939" w:rsidP="000761B5">
      <w:r>
        <w:separator/>
      </w:r>
    </w:p>
  </w:endnote>
  <w:endnote w:type="continuationSeparator" w:id="0">
    <w:p w:rsidR="00671939" w:rsidRDefault="00671939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1D" w:rsidRPr="00155BCA" w:rsidRDefault="006C161D">
    <w:pPr>
      <w:pStyle w:val="Footer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39" w:rsidRDefault="00671939" w:rsidP="000761B5">
      <w:r>
        <w:separator/>
      </w:r>
    </w:p>
  </w:footnote>
  <w:footnote w:type="continuationSeparator" w:id="0">
    <w:p w:rsidR="00671939" w:rsidRDefault="00671939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Header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C1DEB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C1DEB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E6C"/>
    <w:multiLevelType w:val="hybridMultilevel"/>
    <w:tmpl w:val="86B40868"/>
    <w:lvl w:ilvl="0" w:tplc="401AB9F6">
      <w:start w:val="5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54C37"/>
    <w:rsid w:val="00666DF0"/>
    <w:rsid w:val="00671939"/>
    <w:rsid w:val="006802B5"/>
    <w:rsid w:val="00690419"/>
    <w:rsid w:val="006958AC"/>
    <w:rsid w:val="006A4E4F"/>
    <w:rsid w:val="006B388B"/>
    <w:rsid w:val="006C161D"/>
    <w:rsid w:val="006D40A3"/>
    <w:rsid w:val="006F7483"/>
    <w:rsid w:val="00706FB0"/>
    <w:rsid w:val="00713212"/>
    <w:rsid w:val="00724C5C"/>
    <w:rsid w:val="00742D73"/>
    <w:rsid w:val="0074608F"/>
    <w:rsid w:val="00781189"/>
    <w:rsid w:val="0079747E"/>
    <w:rsid w:val="007A485B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8D6023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64899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C1DEB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90386"/>
    <w:rsid w:val="00E92530"/>
    <w:rsid w:val="00EC4D24"/>
    <w:rsid w:val="00ED398D"/>
    <w:rsid w:val="00ED6C4B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9151AF-8242-4C17-9D6F-436F7340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8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F"/>
    <w:rPr>
      <w:rFonts w:ascii="SimSun" w:eastAsia="SimSu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B5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B5"/>
    <w:rPr>
      <w:kern w:val="2"/>
      <w:sz w:val="21"/>
    </w:rPr>
  </w:style>
  <w:style w:type="character" w:styleId="CommentReference">
    <w:name w:val="annotation reference"/>
    <w:basedOn w:val="DefaultParagraphFont"/>
    <w:unhideWhenUsed/>
    <w:qFormat/>
    <w:rsid w:val="00134DEF"/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E7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53B"/>
    <w:rPr>
      <w:kern w:val="2"/>
      <w:sz w:val="21"/>
    </w:rPr>
  </w:style>
  <w:style w:type="paragraph" w:styleId="BodyTextFirstIndent">
    <w:name w:val="Body Text First Indent"/>
    <w:basedOn w:val="Normal"/>
    <w:link w:val="BodyTextFirstIndentChar"/>
    <w:rsid w:val="00BE753B"/>
    <w:pPr>
      <w:ind w:firstLineChars="200" w:firstLine="498"/>
    </w:pPr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E753B"/>
    <w:rPr>
      <w:rFonts w:ascii="Times New Roman" w:eastAsia="SimSun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Normal"/>
    <w:link w:val="EndNoteBibliography0"/>
    <w:rsid w:val="000F7652"/>
    <w:pPr>
      <w:spacing w:line="480" w:lineRule="auto"/>
      <w:jc w:val="left"/>
    </w:pPr>
    <w:rPr>
      <w:rFonts w:ascii="Times New Roman" w:eastAsia="DengXian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DengXian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9253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9682E"/>
  </w:style>
  <w:style w:type="paragraph" w:styleId="NormalWeb">
    <w:name w:val="Normal (Web)"/>
    <w:basedOn w:val="Normal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customStyle="1" w:styleId="PlainTable21">
    <w:name w:val="Plain Table 21"/>
    <w:basedOn w:val="TableNormal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fliu@yz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1820</Characters>
  <Application>Microsoft Office Word</Application>
  <DocSecurity>0</DocSecurity>
  <Lines>15</Lines>
  <Paragraphs>4</Paragraphs>
  <ScaleCrop>false</ScaleCrop>
  <Company>whiov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Santhanam  V</cp:lastModifiedBy>
  <cp:revision>4</cp:revision>
  <cp:lastPrinted>2022-01-04T07:37:00Z</cp:lastPrinted>
  <dcterms:created xsi:type="dcterms:W3CDTF">2022-09-07T03:42:00Z</dcterms:created>
  <dcterms:modified xsi:type="dcterms:W3CDTF">2022-09-11T06:44:00Z</dcterms:modified>
</cp:coreProperties>
</file>