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57" w:rsidRDefault="007D60C5">
      <w:pPr>
        <w:jc w:val="left"/>
        <w:rPr>
          <w:rFonts w:ascii="Times New Roman" w:hAnsi="Times New Roman" w:cs="Times New Roman"/>
          <w:b/>
          <w:w w:val="105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w w:val="105"/>
          <w:sz w:val="22"/>
          <w:szCs w:val="22"/>
        </w:rPr>
        <w:t>Virologica</w:t>
      </w:r>
      <w:proofErr w:type="spellEnd"/>
      <w:r>
        <w:rPr>
          <w:rFonts w:ascii="Times New Roman" w:hAnsi="Times New Roman" w:cs="Times New Roman"/>
          <w:b/>
          <w:w w:val="105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5"/>
          <w:sz w:val="22"/>
          <w:szCs w:val="22"/>
        </w:rPr>
        <w:t>Sinica</w:t>
      </w:r>
      <w:proofErr w:type="spellEnd"/>
    </w:p>
    <w:p w:rsidR="009D0A57" w:rsidRDefault="009D0A57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22"/>
          <w:szCs w:val="22"/>
        </w:rPr>
      </w:pPr>
    </w:p>
    <w:p w:rsidR="009D0A57" w:rsidRDefault="007D60C5">
      <w:pPr>
        <w:tabs>
          <w:tab w:val="right" w:pos="9746"/>
        </w:tabs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22"/>
          <w:szCs w:val="22"/>
        </w:rPr>
      </w:pPr>
      <w:r>
        <w:rPr>
          <w:rFonts w:ascii="Times New Roman" w:hAnsi="Times New Roman" w:cs="Times New Roman"/>
          <w:b/>
          <w:bCs/>
          <w:w w:val="105"/>
          <w:sz w:val="22"/>
          <w:szCs w:val="22"/>
        </w:rPr>
        <w:t>Supplementary Data</w:t>
      </w:r>
      <w:r>
        <w:rPr>
          <w:rFonts w:ascii="Times New Roman" w:hAnsi="Times New Roman" w:cs="Times New Roman"/>
          <w:b/>
          <w:bCs/>
          <w:w w:val="105"/>
          <w:sz w:val="22"/>
          <w:szCs w:val="22"/>
        </w:rPr>
        <w:tab/>
      </w:r>
    </w:p>
    <w:p w:rsidR="009D0A57" w:rsidRDefault="009D0A5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0A57" w:rsidRDefault="009D0A5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0A57" w:rsidRDefault="007D60C5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Ancient dormant virus remnant ERVW-1 drives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ferroptosis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via degradation of GPX4 and SLC3A2 in schizophrenia</w:t>
      </w:r>
    </w:p>
    <w:p w:rsidR="009D0A57" w:rsidRDefault="009D0A5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0A57" w:rsidRDefault="009D0A5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0A57" w:rsidRDefault="007D60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Dongyan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Zhang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Xiulin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 Wu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 Xing </w:t>
      </w:r>
      <w:proofErr w:type="spellStart"/>
      <w:r>
        <w:rPr>
          <w:rFonts w:ascii="Times New Roman" w:hAnsi="Times New Roman" w:cs="Times New Roman"/>
          <w:sz w:val="22"/>
          <w:szCs w:val="22"/>
        </w:rPr>
        <w:t>Xue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  <w:sz w:val="22"/>
          <w:szCs w:val="22"/>
        </w:rPr>
        <w:t>, </w:t>
      </w:r>
      <w:proofErr w:type="spellStart"/>
      <w:r>
        <w:rPr>
          <w:rFonts w:ascii="Times New Roman" w:hAnsi="Times New Roman" w:cs="Times New Roman"/>
          <w:sz w:val="22"/>
          <w:szCs w:val="22"/>
        </w:rPr>
        <w:t>Wenshi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 Li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Ping Zhou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 Zhao </w:t>
      </w:r>
      <w:proofErr w:type="spellStart"/>
      <w:r>
        <w:rPr>
          <w:rFonts w:ascii="Times New Roman" w:hAnsi="Times New Roman" w:cs="Times New Roman"/>
          <w:sz w:val="22"/>
          <w:szCs w:val="22"/>
        </w:rPr>
        <w:t>Lv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Kexin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Zhao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Fan Zhu </w:t>
      </w:r>
      <w:proofErr w:type="spellStart"/>
      <w:r>
        <w:rPr>
          <w:rFonts w:ascii="Times New Roman" w:hAnsi="Times New Roman" w:cs="Times New Roman"/>
          <w:sz w:val="22"/>
          <w:szCs w:val="22"/>
          <w:vertAlign w:val="superscript"/>
        </w:rPr>
        <w:t>a.b</w:t>
      </w:r>
      <w:proofErr w:type="spellEnd"/>
      <w:r>
        <w:rPr>
          <w:rFonts w:ascii="Times New Roman" w:hAnsi="Times New Roman" w:cs="Times New Roman"/>
          <w:sz w:val="22"/>
          <w:szCs w:val="22"/>
          <w:vertAlign w:val="superscript"/>
        </w:rPr>
        <w:t>, *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D0A57" w:rsidRDefault="009D0A5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D0A57" w:rsidRDefault="007D60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State Key Laboratory of Virology and Department of Medical Microbiology, School of Basic Medical Sciences, Wuhan University, Wuhan, 430071, China </w:t>
      </w:r>
    </w:p>
    <w:p w:rsidR="009D0A57" w:rsidRDefault="007D60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Hubei Province Key Laboratory of Allergy &amp; Immunology, Wuhan University, Wuhan, 430071, China </w:t>
      </w:r>
    </w:p>
    <w:p w:rsidR="009D0A57" w:rsidRDefault="009D0A57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D0A57" w:rsidRDefault="007D60C5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*Corresponding author.</w:t>
      </w:r>
    </w:p>
    <w:p w:rsidR="009D0A57" w:rsidRDefault="007D60C5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 address: fanzhu@whu.edu.cn; zhufan@hotmail.com</w:t>
      </w:r>
      <w:bookmarkStart w:id="0" w:name="OLE_LINK5"/>
      <w:r>
        <w:rPr>
          <w:rFonts w:ascii="Times New Roman" w:hAnsi="Times New Roman" w:cs="Times New Roman"/>
          <w:sz w:val="22"/>
          <w:szCs w:val="22"/>
        </w:rPr>
        <w:t xml:space="preserve"> (F. Zhu)</w:t>
      </w:r>
      <w:bookmarkEnd w:id="0"/>
    </w:p>
    <w:p w:rsidR="009D0A57" w:rsidRDefault="007D60C5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-Roman" w:hAnsi="Times New Roman" w:cs="Times New Roman"/>
          <w:color w:val="000000" w:themeColor="text1"/>
          <w:sz w:val="22"/>
          <w:szCs w:val="22"/>
        </w:rPr>
        <w:t>ORCID: 0000-0001-7031-2956</w:t>
      </w:r>
      <w:r>
        <w:rPr>
          <w:rFonts w:ascii="Times New Roman" w:hAnsi="Times New Roman" w:cs="Times New Roman"/>
          <w:sz w:val="22"/>
          <w:szCs w:val="22"/>
        </w:rPr>
        <w:t xml:space="preserve"> (F. Zhu)</w:t>
      </w:r>
    </w:p>
    <w:p w:rsidR="009D0A57" w:rsidRDefault="007D60C5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0A57" w:rsidRDefault="009D0A5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0A57" w:rsidRDefault="009D0A5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0A57" w:rsidRDefault="009D0A57">
      <w:pPr>
        <w:jc w:val="center"/>
        <w:rPr>
          <w:rFonts w:ascii="Times New Roman" w:hAnsi="Times New Roman" w:cs="Times New Roman"/>
          <w:sz w:val="22"/>
          <w:szCs w:val="22"/>
        </w:rPr>
        <w:sectPr w:rsidR="009D0A57">
          <w:pgSz w:w="11906" w:h="16838"/>
          <w:pgMar w:top="1440" w:right="1083" w:bottom="1440" w:left="1083" w:header="851" w:footer="992" w:gutter="0"/>
          <w:cols w:space="425"/>
          <w:docGrid w:type="lines" w:linePitch="312"/>
        </w:sectPr>
      </w:pPr>
    </w:p>
    <w:p w:rsidR="009D0A57" w:rsidRDefault="007D60C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noProof/>
          <w:sz w:val="22"/>
          <w:szCs w:val="22"/>
        </w:rPr>
        <w:lastRenderedPageBreak/>
        <w:drawing>
          <wp:inline distT="0" distB="0" distL="114300" distR="114300">
            <wp:extent cx="3448685" cy="2305685"/>
            <wp:effectExtent l="0" t="0" r="18415" b="18415"/>
            <wp:docPr id="2" name="图片 2" descr="附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加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57" w:rsidRDefault="007D60C5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Fig.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S1 </w:t>
      </w:r>
      <w:r>
        <w:rPr>
          <w:rFonts w:ascii="Times New Roman" w:hAnsi="Times New Roman" w:cs="Times New Roman"/>
          <w:sz w:val="22"/>
          <w:szCs w:val="22"/>
        </w:rPr>
        <w:t>The level of ERVW-1 in GSE53987</w:t>
      </w:r>
      <w:r>
        <w:rPr>
          <w:rFonts w:ascii="Times New Roman" w:hAnsi="Times New Roman" w:cs="Times New Roman" w:hint="eastAsia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br w:type="page"/>
      </w:r>
    </w:p>
    <w:p w:rsidR="009D0A57" w:rsidRDefault="007D60C5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noProof/>
          <w:sz w:val="22"/>
          <w:szCs w:val="22"/>
        </w:rPr>
        <w:lastRenderedPageBreak/>
        <w:drawing>
          <wp:inline distT="0" distB="0" distL="114300" distR="114300">
            <wp:extent cx="4773295" cy="2659380"/>
            <wp:effectExtent l="0" t="0" r="8255" b="7620"/>
            <wp:docPr id="4" name="图片 4" descr="附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附加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57" w:rsidRDefault="007D60C5">
      <w:pPr>
        <w:rPr>
          <w:rFonts w:ascii="Times New Roman" w:hAnsi="Times New Roman" w:cs="Times New Roman"/>
          <w:sz w:val="22"/>
          <w:szCs w:val="22"/>
        </w:rPr>
        <w:sectPr w:rsidR="009D0A57">
          <w:pgSz w:w="11906" w:h="16838"/>
          <w:pgMar w:top="1440" w:right="1083" w:bottom="1440" w:left="1083" w:header="851" w:footer="992" w:gutter="0"/>
          <w:cols w:space="425"/>
          <w:docGrid w:type="lines" w:linePitch="312"/>
        </w:sect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Fig.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The transfection efficiency of ERVW-1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in SH-SY5Y cells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mRNA levels of ERVW-1 in ERVW-1 overexpressing SH-SY5Y cells using quantitative polymerase chain reaction (</w:t>
      </w:r>
      <w:proofErr w:type="spellStart"/>
      <w:r>
        <w:rPr>
          <w:rFonts w:ascii="Times New Roman" w:hAnsi="Times New Roman" w:cs="Times New Roman"/>
          <w:sz w:val="22"/>
          <w:szCs w:val="22"/>
        </w:rPr>
        <w:t>qPCR</w:t>
      </w:r>
      <w:proofErr w:type="spellEnd"/>
      <w:r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B</w:t>
      </w:r>
      <w:r>
        <w:rPr>
          <w:rFonts w:ascii="Times New Roman" w:hAnsi="Times New Roman" w:cs="Times New Roman"/>
          <w:sz w:val="22"/>
          <w:szCs w:val="22"/>
        </w:rPr>
        <w:t xml:space="preserve"> Western blot detection of ERVW-1 protein levels in ERVW-1 overexpressing SH-SY5Y cells.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*</w:t>
      </w:r>
      <w:r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&lt; 0.05; **</w:t>
      </w:r>
      <w:r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&lt; 0.01; ***</w:t>
      </w:r>
      <w:r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&lt;0.001. All experiments were repeated three times.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Statistical analysis: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one-way ANOVA.</w:t>
      </w:r>
    </w:p>
    <w:p w:rsidR="009D0A57" w:rsidRDefault="007D60C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noProof/>
          <w:sz w:val="22"/>
          <w:szCs w:val="22"/>
        </w:rPr>
        <w:lastRenderedPageBreak/>
        <w:drawing>
          <wp:inline distT="0" distB="0" distL="114300" distR="114300">
            <wp:extent cx="4710430" cy="2797810"/>
            <wp:effectExtent l="0" t="0" r="13970" b="2540"/>
            <wp:docPr id="5" name="图片 5" descr="附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附加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043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57" w:rsidRDefault="007D60C5">
      <w:pPr>
        <w:rPr>
          <w:rFonts w:ascii="Times New Roman" w:hAnsi="Times New Roman" w:cs="Times New Roman"/>
          <w:sz w:val="22"/>
          <w:szCs w:val="22"/>
        </w:rPr>
        <w:sectPr w:rsidR="009D0A57">
          <w:pgSz w:w="11906" w:h="16838"/>
          <w:pgMar w:top="1440" w:right="1083" w:bottom="1440" w:left="1083" w:header="851" w:footer="992" w:gutter="0"/>
          <w:cols w:space="425"/>
          <w:docGrid w:type="lines" w:linePitch="312"/>
        </w:sect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Fig.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anchor="##" w:history="1"/>
      <w:hyperlink r:id="rId10" w:anchor="zh/en/javascript:void(0);" w:tooltip="添加到收藏夹" w:history="1"/>
      <w:r>
        <w:rPr>
          <w:rFonts w:ascii="Times New Roman" w:hAnsi="Times New Roman" w:cs="Times New Roman"/>
          <w:sz w:val="22"/>
          <w:szCs w:val="22"/>
        </w:rPr>
        <w:t xml:space="preserve">ERVW-1 didn’t affect the expression of SLC7A11.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The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mRNA levels of SLC7A11 in ERVW-1 overexpressing SH-SY5Y cells using quantitative polymerase chain reaction (</w:t>
      </w:r>
      <w:proofErr w:type="spellStart"/>
      <w:r>
        <w:rPr>
          <w:rFonts w:ascii="Times New Roman" w:hAnsi="Times New Roman" w:cs="Times New Roman"/>
          <w:sz w:val="22"/>
          <w:szCs w:val="22"/>
        </w:rPr>
        <w:t>qPCR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</w:t>
      </w:r>
      <w:r>
        <w:rPr>
          <w:rFonts w:ascii="Times New Roman" w:hAnsi="Times New Roman" w:cs="Times New Roman"/>
          <w:b/>
          <w:bCs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 xml:space="preserve"> Western blot detection of SLC7A11 protein le</w:t>
      </w:r>
      <w:r>
        <w:rPr>
          <w:rFonts w:ascii="Times New Roman" w:hAnsi="Times New Roman" w:cs="Times New Roman"/>
          <w:sz w:val="22"/>
          <w:szCs w:val="22"/>
        </w:rPr>
        <w:t>vels in ERVW-1 overexpressing SH-SY5Y cells.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  <w:t>NS</w:t>
      </w:r>
      <w:r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&gt; 0.05.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All experiments were repeated three times.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Statistical analysis: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one-way ANOVA.</w:t>
      </w:r>
    </w:p>
    <w:p w:rsidR="009D0A57" w:rsidRDefault="007D60C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noProof/>
          <w:sz w:val="22"/>
          <w:szCs w:val="22"/>
        </w:rPr>
        <w:lastRenderedPageBreak/>
        <w:drawing>
          <wp:inline distT="0" distB="0" distL="114300" distR="114300">
            <wp:extent cx="5905500" cy="2254250"/>
            <wp:effectExtent l="0" t="0" r="0" b="12700"/>
            <wp:docPr id="6" name="图片 6" descr="附加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附加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57" w:rsidRDefault="007D60C5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Fig.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S4</w:t>
      </w:r>
      <w:r>
        <w:rPr>
          <w:rFonts w:ascii="Times New Roman" w:hAnsi="Times New Roman" w:cs="Times New Roman"/>
          <w:sz w:val="22"/>
          <w:szCs w:val="22"/>
        </w:rPr>
        <w:t xml:space="preserve"> Fer-1 had no significant effect on the expression of GPX4 and SLC3A2 proteins.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/>
          <w:bCs/>
          <w:sz w:val="22"/>
          <w:szCs w:val="22"/>
        </w:rPr>
        <w:t>A, B, C</w:t>
      </w:r>
      <w:r>
        <w:rPr>
          <w:rFonts w:ascii="Times New Roman" w:hAnsi="Times New Roman" w:cs="Times New Roman"/>
          <w:sz w:val="22"/>
          <w:szCs w:val="22"/>
        </w:rPr>
        <w:t xml:space="preserve">) Fer-1 had no significant effect on the expression of GPX4 and SLC3A2 proteins.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*</w:t>
      </w:r>
      <w:r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&lt; 0.05; **</w:t>
      </w:r>
      <w:r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&lt; 0.01;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  <w:t>NS</w:t>
      </w:r>
      <w:r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&gt; 0.05. All experiments were repeated three times.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Statistical analysis: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one-way ANOVA.</w:t>
      </w:r>
    </w:p>
    <w:p w:rsidR="009D0A57" w:rsidRDefault="007D60C5">
      <w:pPr>
        <w:widowControl/>
        <w:jc w:val="lef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 w:type="page"/>
      </w:r>
    </w:p>
    <w:p w:rsidR="009D0A57" w:rsidRDefault="009D0A57">
      <w:pPr>
        <w:rPr>
          <w:rFonts w:ascii="Times New Roman" w:hAnsi="Times New Roman" w:cs="Times New Roman"/>
          <w:sz w:val="22"/>
          <w:szCs w:val="22"/>
        </w:rPr>
      </w:pPr>
    </w:p>
    <w:p w:rsidR="009D0A57" w:rsidRDefault="007D60C5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noProof/>
          <w:sz w:val="22"/>
          <w:szCs w:val="22"/>
        </w:rPr>
        <w:drawing>
          <wp:inline distT="0" distB="0" distL="114300" distR="114300">
            <wp:extent cx="4678680" cy="4476115"/>
            <wp:effectExtent l="0" t="0" r="7620" b="635"/>
            <wp:docPr id="7" name="图片 7" descr="附加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附加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57" w:rsidRDefault="007D60C5">
      <w:pPr>
        <w:rPr>
          <w:rFonts w:ascii="Times New Roman" w:hAnsi="Times New Roman" w:cs="Times New Roman"/>
          <w:sz w:val="22"/>
          <w:szCs w:val="22"/>
        </w:rPr>
        <w:sectPr w:rsidR="009D0A57">
          <w:pgSz w:w="11906" w:h="16838"/>
          <w:pgMar w:top="1440" w:right="1083" w:bottom="1440" w:left="1083" w:header="851" w:footer="992" w:gutter="0"/>
          <w:cols w:space="425"/>
          <w:docGrid w:type="lines" w:linePitch="312"/>
        </w:sect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Fig.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S5</w:t>
      </w:r>
      <w:r>
        <w:rPr>
          <w:rFonts w:ascii="Times New Roman" w:hAnsi="Times New Roman" w:cs="Times New Roman"/>
          <w:sz w:val="22"/>
          <w:szCs w:val="22"/>
        </w:rPr>
        <w:t xml:space="preserve"> Detection of related-gene expression after co-transfection of pCMV-SLC3A2 and pc3.1-ERVW-1.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ERVW-1 mRNA levels of pCMV-SLC3A2 co-transfected with pc3.1-ERVW-1 or control vector in SH-SY5Y cells.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B </w:t>
      </w:r>
      <w:r>
        <w:rPr>
          <w:rFonts w:ascii="Times New Roman" w:hAnsi="Times New Roman" w:cs="Times New Roman"/>
          <w:sz w:val="22"/>
          <w:szCs w:val="22"/>
        </w:rPr>
        <w:t>ERVW-1 protein levels of pCMV-SLC3A2 co-transfected with</w:t>
      </w:r>
      <w:r>
        <w:rPr>
          <w:rFonts w:ascii="Times New Roman" w:hAnsi="Times New Roman" w:cs="Times New Roman"/>
          <w:sz w:val="22"/>
          <w:szCs w:val="22"/>
        </w:rPr>
        <w:t xml:space="preserve"> pc3.1-ERVW-1 or control vector in SH-SY5Y cells. </w:t>
      </w:r>
      <w:r>
        <w:rPr>
          <w:rFonts w:ascii="Times New Roman" w:hAnsi="Times New Roman" w:cs="Times New Roman"/>
          <w:b/>
          <w:bCs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SLC3A2 mRNA levels of pCMV-SLC3A2 co-transfected with pc3.1-ERVW-1 or control vector in SH-SY5Y cells. </w:t>
      </w: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 SLC3A2 protein levels of pCMV-SLC3A2 co-transfected with pc3.1-ERVW-1 or control vector in SH-SY5Y </w:t>
      </w:r>
      <w:r>
        <w:rPr>
          <w:rFonts w:ascii="Times New Roman" w:hAnsi="Times New Roman" w:cs="Times New Roman"/>
          <w:sz w:val="22"/>
          <w:szCs w:val="22"/>
        </w:rPr>
        <w:t xml:space="preserve">cells.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*</w:t>
      </w:r>
      <w:r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&lt; 0.05; **</w:t>
      </w:r>
      <w:r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&lt; 0.01; ***</w:t>
      </w:r>
      <w:r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&lt;0.001;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  <w:t>NS</w:t>
      </w:r>
      <w:r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&gt; 0.05. All experiments were repeated three times.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Statistical analysis: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one-way ANOVA.</w:t>
      </w:r>
    </w:p>
    <w:p w:rsidR="009D0A57" w:rsidRDefault="007D60C5">
      <w:pPr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lastRenderedPageBreak/>
        <w:t>Supplementary Table S1.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Primer sequence for real-time PCR and cloning used in this study</w:t>
      </w:r>
    </w:p>
    <w:tbl>
      <w:tblPr>
        <w:tblW w:w="8587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800"/>
        <w:gridCol w:w="4813"/>
        <w:gridCol w:w="974"/>
      </w:tblGrid>
      <w:tr w:rsidR="009D0A57">
        <w:trPr>
          <w:trHeight w:val="300"/>
        </w:trPr>
        <w:tc>
          <w:tcPr>
            <w:tcW w:w="2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Primer name</w:t>
            </w:r>
          </w:p>
        </w:tc>
        <w:tc>
          <w:tcPr>
            <w:tcW w:w="48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Primer sequences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Enzyme</w:t>
            </w:r>
          </w:p>
        </w:tc>
      </w:tr>
      <w:tr w:rsidR="009D0A57">
        <w:trPr>
          <w:trHeight w:val="288"/>
        </w:trPr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Primers for real-time PCR:</w:t>
            </w:r>
          </w:p>
        </w:tc>
        <w:tc>
          <w:tcPr>
            <w:tcW w:w="48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A57" w:rsidRDefault="009D0A57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0A57" w:rsidRDefault="009D0A57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ERVW-1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sense: 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5'-CCAATGCATCAGGTGGGTAAC-3'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9D0A57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ERVW-1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antisense: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5'-GAGGTACCACAGACAAAAAATATTCCT-3'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9D0A57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GPX4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sense: 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5'-TGGACAAGTACCGGGGCTT-3'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9D0A57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GPX4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antisense: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5'-ACTGGTTACACGGGAAGGC-3'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9D0A57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SLC3A2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sense: 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5'-TGAATGAGTTAGAGCCCGAGA-3'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9D0A57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SLC3A2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antisense: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5'-GTCTTCCGCCACCTTGATCTT-3'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9D0A57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SLC7A11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sense: 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5'-TCTCCAAAGGAGGTTACCTGC-3'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9D0A57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SLC7A11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antisense: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5'-AGACTCCCCTCAGTAAAGTGAC-3'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9D0A57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9D0A57">
        <w:trPr>
          <w:trHeight w:val="288"/>
        </w:trPr>
        <w:tc>
          <w:tcPr>
            <w:tcW w:w="7613" w:type="dxa"/>
            <w:gridSpan w:val="2"/>
            <w:shd w:val="clear" w:color="auto" w:fill="auto"/>
            <w:noWrap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Primers for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cloning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9D0A57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GPX4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sense: 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5'-CGCGGATCCATGAGCCTCGGCCGC-3'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7D60C5">
              <w:rPr>
                <w:rFonts w:ascii="Times New Roman" w:hAnsi="Times New Roman" w:cs="Times New Roman"/>
                <w:i/>
                <w:kern w:val="0"/>
                <w:sz w:val="22"/>
                <w:szCs w:val="22"/>
              </w:rPr>
              <w:t>Bam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HI</w:t>
            </w:r>
            <w:proofErr w:type="spellEnd"/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GPX4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antisense: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5'-CCGGAATTCGAAATAGTGGGGCAG-3'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7D60C5">
              <w:rPr>
                <w:rFonts w:ascii="Times New Roman" w:hAnsi="Times New Roman" w:cs="Times New Roman"/>
                <w:i/>
                <w:kern w:val="0"/>
                <w:sz w:val="22"/>
                <w:szCs w:val="22"/>
              </w:rPr>
              <w:t>Eco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RI</w:t>
            </w:r>
            <w:proofErr w:type="spellEnd"/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SLC3A2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sense: 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5'-CGCGGATCCATGGAGCTACAGCCCTCCTGAAG-3'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7D60C5">
              <w:rPr>
                <w:rFonts w:ascii="Times New Roman" w:hAnsi="Times New Roman" w:cs="Times New Roman"/>
                <w:i/>
                <w:kern w:val="0"/>
                <w:sz w:val="22"/>
                <w:szCs w:val="22"/>
              </w:rPr>
              <w:t>Bam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HI</w:t>
            </w:r>
            <w:proofErr w:type="spellEnd"/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SLC3A2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antisense: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5'-CCGGAATTCGGCCGCGTAGGGGAAGC-3'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7D60C5">
              <w:rPr>
                <w:rFonts w:ascii="Times New Roman" w:hAnsi="Times New Roman" w:cs="Times New Roman"/>
                <w:i/>
                <w:kern w:val="0"/>
                <w:sz w:val="22"/>
                <w:szCs w:val="22"/>
              </w:rPr>
              <w:t>Eco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RI</w:t>
            </w:r>
            <w:proofErr w:type="spellEnd"/>
          </w:p>
        </w:tc>
      </w:tr>
      <w:tr w:rsidR="009D0A57">
        <w:trPr>
          <w:trHeight w:val="288"/>
        </w:trPr>
        <w:tc>
          <w:tcPr>
            <w:tcW w:w="7613" w:type="dxa"/>
            <w:gridSpan w:val="2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Primers for 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SLC3A2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promoter construct: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9D0A57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(-588/+212) 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 xml:space="preserve">SLC3A2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sense: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5’-CGACGCGTGCTATTTTCTGAACAGACGGCTA-3’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7D60C5">
              <w:rPr>
                <w:rFonts w:ascii="Times New Roman" w:hAnsi="Times New Roman" w:cs="Times New Roman"/>
                <w:i/>
                <w:kern w:val="0"/>
                <w:sz w:val="22"/>
                <w:szCs w:val="22"/>
              </w:rPr>
              <w:t>Mlu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I</w:t>
            </w:r>
            <w:proofErr w:type="spellEnd"/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(-388/+212)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 xml:space="preserve"> SLC3A2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sense: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5’-CGACGCGTATCCGCCAGTCGCCCT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-3’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7D60C5">
              <w:rPr>
                <w:rFonts w:ascii="Times New Roman" w:hAnsi="Times New Roman" w:cs="Times New Roman"/>
                <w:i/>
                <w:kern w:val="0"/>
                <w:sz w:val="22"/>
                <w:szCs w:val="22"/>
              </w:rPr>
              <w:t>Mlu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I</w:t>
            </w:r>
            <w:proofErr w:type="spellEnd"/>
          </w:p>
        </w:tc>
      </w:tr>
      <w:tr w:rsidR="009D0A57">
        <w:trPr>
          <w:trHeight w:val="288"/>
        </w:trPr>
        <w:tc>
          <w:tcPr>
            <w:tcW w:w="2800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(-188/+212) 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SLC3A2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sense: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5’-CGACGCGTGCCGCAGAGGCCCAC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-3’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7D60C5">
              <w:rPr>
                <w:rFonts w:ascii="Times New Roman" w:hAnsi="Times New Roman" w:cs="Times New Roman"/>
                <w:i/>
                <w:kern w:val="0"/>
                <w:sz w:val="22"/>
                <w:szCs w:val="22"/>
              </w:rPr>
              <w:t>Mlu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I</w:t>
            </w:r>
            <w:proofErr w:type="spellEnd"/>
          </w:p>
        </w:tc>
      </w:tr>
      <w:tr w:rsidR="009D0A57">
        <w:trPr>
          <w:trHeight w:val="288"/>
        </w:trPr>
        <w:tc>
          <w:tcPr>
            <w:tcW w:w="28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(+12/+212) 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SLC3A2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sense:</w:t>
            </w:r>
          </w:p>
        </w:tc>
        <w:tc>
          <w:tcPr>
            <w:tcW w:w="481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5’-CGACGCGTTGGTTTTCTCACCCAGTGCATG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-3’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7D60C5">
              <w:rPr>
                <w:rFonts w:ascii="Times New Roman" w:hAnsi="Times New Roman" w:cs="Times New Roman"/>
                <w:i/>
                <w:kern w:val="0"/>
                <w:sz w:val="22"/>
                <w:szCs w:val="22"/>
              </w:rPr>
              <w:t>Mlu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I</w:t>
            </w:r>
            <w:proofErr w:type="spellEnd"/>
          </w:p>
        </w:tc>
      </w:tr>
      <w:tr w:rsidR="009D0A57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Antisense: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5’-CCGCTCGAGCGCGGAATCGACACGACG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-3’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bookmarkStart w:id="1" w:name="_GoBack"/>
            <w:proofErr w:type="spellStart"/>
            <w:r w:rsidRPr="007D60C5">
              <w:rPr>
                <w:rFonts w:ascii="Times New Roman" w:hAnsi="Times New Roman" w:cs="Times New Roman"/>
                <w:i/>
                <w:kern w:val="0"/>
                <w:sz w:val="22"/>
                <w:szCs w:val="22"/>
              </w:rPr>
              <w:t>Xho</w:t>
            </w:r>
            <w:bookmarkEnd w:id="1"/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I</w:t>
            </w:r>
            <w:proofErr w:type="spellEnd"/>
          </w:p>
        </w:tc>
      </w:tr>
      <w:tr w:rsidR="009D0A57">
        <w:trPr>
          <w:trHeight w:val="288"/>
        </w:trPr>
        <w:tc>
          <w:tcPr>
            <w:tcW w:w="7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Primers for GPX4 promoter construct: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9D0A57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9D0A57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(-700/+100) GPX4 sense: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5’-GGGTACCAAAAAAACTGTGTCTCGGA-3’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KpnI</w:t>
            </w:r>
            <w:proofErr w:type="spellEnd"/>
          </w:p>
        </w:tc>
      </w:tr>
      <w:tr w:rsidR="009D0A57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(-500/+100) GPX4 sense: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5’-GGGTACCTGTTGTCCCAGCTACTCGG-3’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KpnI</w:t>
            </w:r>
            <w:proofErr w:type="spellEnd"/>
          </w:p>
        </w:tc>
      </w:tr>
      <w:tr w:rsidR="009D0A57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(-300/+100) GPX4 sense: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5’-GGGTACTTAAGTAGTATTCTCAGGTTG-3’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KpnI</w:t>
            </w:r>
            <w:proofErr w:type="spellEnd"/>
          </w:p>
        </w:tc>
      </w:tr>
      <w:tr w:rsidR="009D0A57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(-100/+100) GPX4 sense: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5’-GGGTACCTGACGTCGGCGCGAGCGCTCA-3’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KpnI</w:t>
            </w:r>
            <w:proofErr w:type="spellEnd"/>
          </w:p>
        </w:tc>
      </w:tr>
      <w:tr w:rsidR="009D0A57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Antisense: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5’-CCTCGAGCCACAGAGCAGCGCCGGCTTC-3’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D0A57" w:rsidRDefault="007D60C5">
            <w:pPr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XhoI</w:t>
            </w:r>
            <w:proofErr w:type="spellEnd"/>
          </w:p>
        </w:tc>
      </w:tr>
    </w:tbl>
    <w:p w:rsidR="009D0A57" w:rsidRDefault="009D0A57"/>
    <w:sectPr w:rsidR="009D0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10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08"/>
    <w:rsid w:val="00267467"/>
    <w:rsid w:val="005322C2"/>
    <w:rsid w:val="00645B08"/>
    <w:rsid w:val="0064726D"/>
    <w:rsid w:val="00723826"/>
    <w:rsid w:val="007D60C5"/>
    <w:rsid w:val="008B1FAA"/>
    <w:rsid w:val="008C6853"/>
    <w:rsid w:val="009D0A57"/>
    <w:rsid w:val="00D871D9"/>
    <w:rsid w:val="23903431"/>
    <w:rsid w:val="79BA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6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60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6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60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fanyi.baidu.com/?aldtype=16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nyi.baidu.com/?aldtype=160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zhangdy</dc:creator>
  <cp:lastModifiedBy>unknown</cp:lastModifiedBy>
  <cp:revision>6</cp:revision>
  <dcterms:created xsi:type="dcterms:W3CDTF">2023-08-04T16:51:00Z</dcterms:created>
  <dcterms:modified xsi:type="dcterms:W3CDTF">2023-09-06T10:02:00Z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